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color w:val="auto"/>
          <w:sz w:val="52"/>
          <w:szCs w:val="84"/>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黄山市</w:t>
      </w:r>
      <w:r>
        <w:rPr>
          <w:rFonts w:hint="eastAsia" w:ascii="方正小标宋简体" w:hAnsi="方正小标宋简体" w:eastAsia="方正小标宋简体" w:cs="方正小标宋简体"/>
          <w:bCs/>
          <w:color w:val="auto"/>
          <w:sz w:val="44"/>
          <w:szCs w:val="44"/>
        </w:rPr>
        <w:t>新潭小学</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w:t>
      </w:r>
      <w:r>
        <w:rPr>
          <w:rFonts w:hint="eastAsia" w:ascii="方正小标宋简体" w:hAnsi="方正小标宋简体" w:eastAsia="方正小标宋简体" w:cs="方正小标宋简体"/>
          <w:b w:val="0"/>
          <w:bCs/>
          <w:color w:val="auto"/>
          <w:sz w:val="44"/>
          <w:szCs w:val="44"/>
          <w:lang w:eastAsia="zh-CN"/>
        </w:rPr>
        <w:t>单位决算</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4"/>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目录</w:t>
      </w:r>
    </w:p>
    <w:p>
      <w:pPr>
        <w:spacing w:line="580" w:lineRule="exact"/>
        <w:jc w:val="center"/>
        <w:rPr>
          <w:rFonts w:hint="eastAsia" w:ascii="黑体" w:hAnsi="宋体" w:eastAsia="黑体"/>
          <w:bCs/>
          <w:color w:val="auto"/>
          <w:sz w:val="48"/>
          <w:szCs w:val="48"/>
        </w:rPr>
      </w:pPr>
    </w:p>
    <w:p>
      <w:pPr>
        <w:spacing w:line="550" w:lineRule="exact"/>
        <w:rPr>
          <w:rFonts w:hint="eastAsia" w:ascii="宋体" w:hAnsi="宋体"/>
          <w:b/>
          <w:color w:val="auto"/>
          <w:sz w:val="36"/>
          <w:szCs w:val="36"/>
        </w:rPr>
      </w:pPr>
      <w:r>
        <w:rPr>
          <w:rFonts w:hint="eastAsia" w:ascii="宋体" w:hAnsi="宋体"/>
          <w:b/>
          <w:color w:val="auto"/>
          <w:sz w:val="36"/>
          <w:szCs w:val="36"/>
        </w:rPr>
        <w:t>第一</w:t>
      </w:r>
      <w:r>
        <w:rPr>
          <w:rFonts w:hint="eastAsia" w:ascii="宋体" w:hAnsi="宋体"/>
          <w:b/>
          <w:color w:val="auto"/>
          <w:sz w:val="36"/>
          <w:szCs w:val="36"/>
          <w:lang w:eastAsia="zh-CN"/>
        </w:rPr>
        <w:t>部分黄山市新潭小学</w:t>
      </w:r>
      <w:r>
        <w:rPr>
          <w:rFonts w:hint="eastAsia" w:ascii="宋体" w:hAnsi="宋体"/>
          <w:b/>
          <w:color w:val="auto"/>
          <w:sz w:val="36"/>
          <w:szCs w:val="36"/>
        </w:rPr>
        <w:t>概况</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一、主要</w:t>
      </w:r>
      <w:r>
        <w:rPr>
          <w:rFonts w:hint="eastAsia" w:ascii="宋体" w:hAnsi="宋体"/>
          <w:bCs/>
          <w:color w:val="auto"/>
          <w:sz w:val="36"/>
          <w:szCs w:val="36"/>
        </w:rPr>
        <w:t>职责</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rPr>
        <w:t>二、</w:t>
      </w:r>
      <w:r>
        <w:rPr>
          <w:rFonts w:hint="eastAsia" w:ascii="宋体" w:hAnsi="宋体"/>
          <w:bCs/>
          <w:color w:val="auto"/>
          <w:sz w:val="36"/>
          <w:szCs w:val="36"/>
          <w:lang w:eastAsia="zh-CN"/>
        </w:rPr>
        <w:t>单位决算构成</w:t>
      </w:r>
    </w:p>
    <w:p>
      <w:pPr>
        <w:spacing w:line="550" w:lineRule="exact"/>
        <w:rPr>
          <w:rFonts w:hint="eastAsia" w:ascii="宋体" w:hAnsi="宋体"/>
          <w:b/>
          <w:color w:val="auto"/>
          <w:sz w:val="36"/>
          <w:szCs w:val="36"/>
        </w:rPr>
      </w:pPr>
      <w:r>
        <w:rPr>
          <w:rFonts w:hint="eastAsia" w:ascii="宋体" w:hAnsi="宋体"/>
          <w:b/>
          <w:color w:val="auto"/>
          <w:sz w:val="36"/>
          <w:szCs w:val="36"/>
        </w:rPr>
        <w:t>第二</w:t>
      </w:r>
      <w:r>
        <w:rPr>
          <w:rFonts w:hint="eastAsia" w:ascii="宋体" w:hAnsi="宋体"/>
          <w:b/>
          <w:color w:val="auto"/>
          <w:sz w:val="36"/>
          <w:szCs w:val="36"/>
          <w:lang w:eastAsia="zh-CN"/>
        </w:rPr>
        <w:t>部分黄山市新潭小学202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lang w:eastAsia="zh-CN"/>
        </w:rPr>
        <w:t>明细</w:t>
      </w:r>
      <w:r>
        <w:rPr>
          <w:rFonts w:hint="eastAsia" w:ascii="宋体" w:hAnsi="宋体"/>
          <w:bCs/>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pPr>
        <w:spacing w:line="550" w:lineRule="exact"/>
        <w:rPr>
          <w:rFonts w:hint="eastAsia" w:ascii="宋体" w:hAnsi="宋体"/>
          <w:b/>
          <w:color w:val="auto"/>
          <w:sz w:val="36"/>
          <w:szCs w:val="36"/>
        </w:rPr>
      </w:pPr>
      <w:r>
        <w:rPr>
          <w:rFonts w:hint="eastAsia" w:ascii="宋体" w:hAnsi="宋体"/>
          <w:b/>
          <w:color w:val="auto"/>
          <w:sz w:val="36"/>
          <w:szCs w:val="36"/>
        </w:rPr>
        <w:t>第三</w:t>
      </w:r>
      <w:r>
        <w:rPr>
          <w:rFonts w:hint="eastAsia" w:ascii="宋体" w:hAnsi="宋体"/>
          <w:b/>
          <w:color w:val="auto"/>
          <w:sz w:val="36"/>
          <w:szCs w:val="36"/>
          <w:lang w:eastAsia="zh-CN"/>
        </w:rPr>
        <w:t>部分黄山市新潭小学202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val="en-US" w:eastAsia="zh-CN"/>
        </w:rPr>
        <w:t>预算</w:t>
      </w:r>
      <w:r>
        <w:rPr>
          <w:rFonts w:hint="eastAsia" w:ascii="宋体" w:hAnsi="宋体"/>
          <w:bCs/>
          <w:color w:val="auto"/>
          <w:sz w:val="36"/>
          <w:szCs w:val="36"/>
        </w:rPr>
        <w:t>财政拨款收入支出决算情况说明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第四部分名词解释</w:t>
      </w:r>
    </w:p>
    <w:p>
      <w:pPr>
        <w:spacing w:line="550" w:lineRule="exact"/>
        <w:rPr>
          <w:rFonts w:hint="eastAsia" w:ascii="宋体" w:hAnsi="宋体"/>
          <w:bCs/>
          <w:color w:val="auto"/>
          <w:sz w:val="36"/>
          <w:szCs w:val="36"/>
        </w:rPr>
      </w:pPr>
      <w:r>
        <w:rPr>
          <w:rFonts w:hint="eastAsia" w:ascii="宋体" w:hAnsi="宋体"/>
          <w:b/>
          <w:color w:val="auto"/>
          <w:sz w:val="36"/>
          <w:szCs w:val="36"/>
          <w:lang w:eastAsia="zh-CN"/>
        </w:rPr>
        <w:t>附件：</w:t>
      </w:r>
      <w:r>
        <w:rPr>
          <w:rFonts w:hint="eastAsia" w:ascii="宋体" w:hAnsi="宋体"/>
          <w:bCs/>
          <w:color w:val="auto"/>
          <w:sz w:val="36"/>
          <w:szCs w:val="36"/>
          <w:lang w:val="en-US" w:eastAsia="zh-CN"/>
        </w:rPr>
        <w:t>2023年度</w:t>
      </w:r>
      <w:r>
        <w:rPr>
          <w:rFonts w:hint="eastAsia" w:ascii="宋体" w:hAnsi="宋体"/>
          <w:bCs/>
          <w:color w:val="auto"/>
          <w:sz w:val="36"/>
          <w:szCs w:val="36"/>
          <w:lang w:eastAsia="zh-CN"/>
        </w:rPr>
        <w:t>项目支出绩效自评表</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djustRightInd w:val="0"/>
        <w:snapToGrid w:val="0"/>
        <w:spacing w:line="360" w:lineRule="auto"/>
        <w:jc w:val="center"/>
        <w:rPr>
          <w:rFonts w:hint="eastAsia" w:ascii="黑体" w:hAnsi="黑体" w:eastAsia="黑体"/>
          <w:color w:val="auto"/>
          <w:szCs w:val="32"/>
          <w:lang w:eastAsia="zh-CN"/>
        </w:rPr>
      </w:pPr>
      <w:r>
        <w:rPr>
          <w:rFonts w:hint="eastAsia" w:ascii="黑体" w:hAnsi="黑体" w:eastAsia="黑体"/>
          <w:color w:val="auto"/>
          <w:szCs w:val="32"/>
        </w:rPr>
        <w:t>第一</w:t>
      </w:r>
      <w:r>
        <w:rPr>
          <w:rFonts w:hint="eastAsia" w:ascii="黑体" w:hAnsi="黑体" w:eastAsia="黑体"/>
          <w:color w:val="auto"/>
          <w:szCs w:val="32"/>
          <w:lang w:eastAsia="zh-CN"/>
        </w:rPr>
        <w:t>部分黄山市新潭小学概况</w:t>
      </w:r>
    </w:p>
    <w:p>
      <w:pPr>
        <w:ind w:firstLine="640"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主要</w:t>
      </w:r>
      <w:r>
        <w:rPr>
          <w:rFonts w:hint="eastAsia" w:ascii="黑体" w:hAnsi="黑体" w:eastAsia="黑体"/>
          <w:color w:val="auto"/>
          <w:szCs w:val="32"/>
        </w:rPr>
        <w:t>职责</w:t>
      </w:r>
    </w:p>
    <w:p>
      <w:pPr>
        <w:ind w:firstLine="640" w:firstLineChars="200"/>
        <w:rPr>
          <w:rFonts w:ascii="仿宋_GB2312" w:hAnsi="仿宋"/>
          <w:color w:val="auto"/>
          <w:szCs w:val="32"/>
        </w:rPr>
      </w:pPr>
      <w:r>
        <w:rPr>
          <w:rFonts w:hint="eastAsia" w:ascii="仿宋_GB2312" w:hAnsi="仿宋"/>
          <w:color w:val="auto"/>
          <w:szCs w:val="32"/>
        </w:rPr>
        <w:t>根据《职能配置、内设机构和人员编制方案的通知》（黄财预【2017】169号文件）规定。</w:t>
      </w:r>
    </w:p>
    <w:p>
      <w:pPr>
        <w:ind w:firstLine="640" w:firstLineChars="200"/>
        <w:rPr>
          <w:rFonts w:hint="eastAsia" w:ascii="黑体" w:hAnsi="黑体" w:eastAsia="黑体"/>
          <w:color w:val="auto"/>
          <w:szCs w:val="32"/>
        </w:rPr>
      </w:pPr>
      <w:r>
        <w:rPr>
          <w:rFonts w:hint="eastAsia" w:ascii="仿宋_GB2312" w:hAnsi="仿宋"/>
          <w:color w:val="auto"/>
          <w:szCs w:val="32"/>
        </w:rPr>
        <w:t>贯彻执行党和国家的教育方针、政策、法规。研究拟定学校发展规划和年度计划。管理和指导学校基础教育工作，确保普及九年义务教育工作成果。管理学校教育经费；管理学校教育经费，执行财务管理制度。负责和指导学校教职工的思想政治工作，规划学校品德教育、体育卫生教育、艺术教育和国防教育工作；负责做好社会治安综合治理及安全保卫工作。</w:t>
      </w:r>
    </w:p>
    <w:p>
      <w:pPr>
        <w:ind w:firstLine="640" w:firstLineChars="200"/>
        <w:rPr>
          <w:rFonts w:hint="eastAsia" w:ascii="黑体" w:hAnsi="黑体" w:eastAsia="黑体"/>
          <w:color w:val="auto"/>
          <w:szCs w:val="32"/>
        </w:rPr>
      </w:pPr>
      <w:r>
        <w:rPr>
          <w:rFonts w:hint="eastAsia" w:ascii="黑体" w:hAnsi="黑体" w:eastAsia="黑体"/>
          <w:color w:val="auto"/>
          <w:szCs w:val="32"/>
        </w:rPr>
        <w:t>二、单位决算构成</w:t>
      </w:r>
    </w:p>
    <w:p>
      <w:pPr>
        <w:ind w:firstLine="640" w:firstLineChars="200"/>
        <w:rPr>
          <w:rFonts w:ascii="仿宋_GB2312" w:hAnsi="仿宋"/>
          <w:color w:val="auto"/>
          <w:szCs w:val="32"/>
        </w:rPr>
      </w:pPr>
      <w:r>
        <w:rPr>
          <w:rFonts w:hint="eastAsia" w:ascii="仿宋_GB2312" w:hAnsi="仿宋"/>
          <w:color w:val="auto"/>
          <w:szCs w:val="32"/>
        </w:rPr>
        <w:t>黄山市新潭小学202</w:t>
      </w:r>
      <w:r>
        <w:rPr>
          <w:rFonts w:hint="eastAsia" w:ascii="仿宋_GB2312" w:hAnsi="仿宋"/>
          <w:color w:val="auto"/>
          <w:szCs w:val="32"/>
          <w:lang w:val="en-US" w:eastAsia="zh-CN"/>
        </w:rPr>
        <w:t>3</w:t>
      </w:r>
      <w:r>
        <w:rPr>
          <w:rFonts w:hint="eastAsia" w:ascii="仿宋_GB2312" w:hAnsi="仿宋"/>
          <w:color w:val="auto"/>
          <w:szCs w:val="32"/>
        </w:rPr>
        <w:t>年度单位决算仅包括单位本级决算，无其他下属单位决算。</w:t>
      </w:r>
    </w:p>
    <w:tbl>
      <w:tblPr>
        <w:tblStyle w:val="5"/>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4"/>
              </w:rPr>
            </w:pPr>
            <w:r>
              <w:rPr>
                <w:rFonts w:hint="eastAsia" w:ascii="宋体" w:hAnsi="宋体"/>
                <w:color w:val="auto"/>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4"/>
              </w:rPr>
            </w:pPr>
            <w:r>
              <w:rPr>
                <w:rFonts w:hint="eastAsia" w:ascii="宋体" w:hAnsi="宋体"/>
                <w:color w:val="auto"/>
                <w:sz w:val="24"/>
              </w:rPr>
              <w:t>单位名称</w:t>
            </w:r>
          </w:p>
        </w:tc>
      </w:tr>
      <w:tr>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color w:val="auto"/>
                <w:sz w:val="24"/>
              </w:rPr>
            </w:pPr>
            <w:r>
              <w:rPr>
                <w:rFonts w:hint="eastAsia" w:ascii="宋体" w:hAnsi="宋体"/>
                <w:color w:val="auto"/>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color w:val="auto"/>
                <w:sz w:val="24"/>
              </w:rPr>
            </w:pPr>
            <w:r>
              <w:rPr>
                <w:rFonts w:hint="eastAsia" w:ascii="仿宋_GB2312" w:hAnsi="宋体"/>
                <w:color w:val="auto"/>
                <w:sz w:val="24"/>
                <w:szCs w:val="24"/>
              </w:rPr>
              <w:t>黄山市新潭小学</w:t>
            </w:r>
          </w:p>
        </w:tc>
      </w:tr>
    </w:tbl>
    <w:p>
      <w:pPr>
        <w:ind w:firstLine="640" w:firstLineChars="200"/>
        <w:rPr>
          <w:rFonts w:hint="eastAsia" w:ascii="仿宋_GB2312" w:hAnsi="黑体"/>
          <w:color w:val="auto"/>
          <w:szCs w:val="32"/>
        </w:rPr>
      </w:pPr>
    </w:p>
    <w:p>
      <w:pPr>
        <w:ind w:firstLine="640" w:firstLineChars="200"/>
        <w:rPr>
          <w:rFonts w:hint="eastAsia" w:ascii="仿宋_GB2312" w:hAnsi="黑体"/>
          <w:color w:val="auto"/>
          <w:szCs w:val="32"/>
        </w:rPr>
      </w:pPr>
    </w:p>
    <w:p>
      <w:pPr>
        <w:ind w:firstLine="640" w:firstLineChars="200"/>
        <w:rPr>
          <w:rFonts w:hint="eastAsia" w:ascii="仿宋_GB2312" w:hAnsi="黑体"/>
          <w:color w:val="auto"/>
          <w:szCs w:val="32"/>
        </w:rPr>
      </w:pPr>
    </w:p>
    <w:p>
      <w:pPr>
        <w:ind w:firstLine="640" w:firstLineChars="200"/>
        <w:rPr>
          <w:rFonts w:hint="eastAsia" w:ascii="仿宋_GB2312" w:hAnsi="黑体"/>
          <w:color w:val="auto"/>
          <w:szCs w:val="32"/>
        </w:rPr>
      </w:pPr>
    </w:p>
    <w:p>
      <w:pPr>
        <w:ind w:firstLine="640" w:firstLineChars="200"/>
        <w:rPr>
          <w:rFonts w:hint="eastAsia" w:ascii="仿宋_GB2312" w:hAnsi="黑体"/>
          <w:color w:val="auto"/>
          <w:szCs w:val="32"/>
        </w:rPr>
      </w:pPr>
    </w:p>
    <w:p>
      <w:pPr>
        <w:ind w:firstLine="640" w:firstLineChars="200"/>
        <w:rPr>
          <w:rFonts w:hint="eastAsia" w:ascii="仿宋_GB2312" w:hAnsi="黑体"/>
          <w:color w:val="auto"/>
          <w:szCs w:val="32"/>
        </w:rPr>
      </w:pPr>
    </w:p>
    <w:p>
      <w:pPr>
        <w:ind w:firstLine="640" w:firstLineChars="200"/>
        <w:rPr>
          <w:rFonts w:hint="eastAsia" w:ascii="仿宋_GB2312" w:hAnsi="黑体"/>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第二</w:t>
      </w:r>
      <w:r>
        <w:rPr>
          <w:rFonts w:hint="eastAsia" w:ascii="黑体" w:hAnsi="黑体" w:eastAsia="黑体"/>
          <w:color w:val="auto"/>
          <w:szCs w:val="32"/>
          <w:lang w:eastAsia="zh-CN"/>
        </w:rPr>
        <w:t>部分黄山市新潭小学202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表</w:t>
      </w:r>
    </w:p>
    <w:tbl>
      <w:tblPr>
        <w:tblStyle w:val="5"/>
        <w:tblpPr w:leftFromText="180" w:rightFromText="180" w:vertAnchor="text" w:horzAnchor="page" w:tblpX="1907" w:tblpY="768"/>
        <w:tblOverlap w:val="never"/>
        <w:tblW w:w="8540" w:type="dxa"/>
        <w:tblInd w:w="0" w:type="dxa"/>
        <w:tblLayout w:type="fixed"/>
        <w:tblCellMar>
          <w:top w:w="0" w:type="dxa"/>
          <w:left w:w="0" w:type="dxa"/>
          <w:bottom w:w="0" w:type="dxa"/>
          <w:right w:w="0" w:type="dxa"/>
        </w:tblCellMar>
      </w:tblPr>
      <w:tblGrid>
        <w:gridCol w:w="2523"/>
        <w:gridCol w:w="535"/>
        <w:gridCol w:w="1137"/>
        <w:gridCol w:w="2978"/>
        <w:gridCol w:w="332"/>
        <w:gridCol w:w="1035"/>
      </w:tblGrid>
      <w:tr>
        <w:tblPrEx>
          <w:tblCellMar>
            <w:top w:w="0" w:type="dxa"/>
            <w:left w:w="0" w:type="dxa"/>
            <w:bottom w:w="0" w:type="dxa"/>
            <w:right w:w="0" w:type="dxa"/>
          </w:tblCellMar>
        </w:tblPrEx>
        <w:trPr>
          <w:trHeight w:val="496" w:hRule="atLeast"/>
        </w:trPr>
        <w:tc>
          <w:tcPr>
            <w:tcW w:w="8540" w:type="dxa"/>
            <w:gridSpan w:val="6"/>
            <w:tcBorders>
              <w:top w:val="nil"/>
              <w:left w:val="nil"/>
              <w:bottom w:val="nil"/>
              <w:right w:val="nil"/>
            </w:tcBorders>
            <w:noWrap w:val="0"/>
            <w:tcMar>
              <w:top w:w="12" w:type="dxa"/>
              <w:left w:w="12" w:type="dxa"/>
              <w:right w:w="12" w:type="dxa"/>
            </w:tcMar>
            <w:vAlign w:val="bottom"/>
          </w:tcPr>
          <w:p>
            <w:pPr>
              <w:ind w:firstLine="600" w:firstLineChars="200"/>
              <w:jc w:val="center"/>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收入支出决算总表</w:t>
            </w:r>
          </w:p>
        </w:tc>
      </w:tr>
      <w:tr>
        <w:tblPrEx>
          <w:tblCellMar>
            <w:top w:w="0" w:type="dxa"/>
            <w:left w:w="0" w:type="dxa"/>
            <w:bottom w:w="0" w:type="dxa"/>
            <w:right w:w="0" w:type="dxa"/>
          </w:tblCellMar>
        </w:tblPrEx>
        <w:trPr>
          <w:trHeight w:val="253" w:hRule="atLeast"/>
        </w:trPr>
        <w:tc>
          <w:tcPr>
            <w:tcW w:w="2523"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53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3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3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35"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公开01表</w:t>
            </w:r>
          </w:p>
        </w:tc>
      </w:tr>
      <w:tr>
        <w:tblPrEx>
          <w:tblCellMar>
            <w:top w:w="0" w:type="dxa"/>
            <w:left w:w="0" w:type="dxa"/>
            <w:bottom w:w="0" w:type="dxa"/>
            <w:right w:w="0" w:type="dxa"/>
          </w:tblCellMar>
        </w:tblPrEx>
        <w:trPr>
          <w:trHeight w:val="253" w:hRule="atLeast"/>
        </w:trPr>
        <w:tc>
          <w:tcPr>
            <w:tcW w:w="2523"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2"/>
                <w:szCs w:val="22"/>
                <w:u w:val="none"/>
                <w:lang w:val="en-US" w:eastAsia="zh-CN" w:bidi="ar"/>
              </w:rPr>
              <w:t>单位：</w:t>
            </w:r>
          </w:p>
        </w:tc>
        <w:tc>
          <w:tcPr>
            <w:tcW w:w="53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3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261" w:hRule="atLeast"/>
        </w:trPr>
        <w:tc>
          <w:tcPr>
            <w:tcW w:w="41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收入</w:t>
            </w:r>
          </w:p>
        </w:tc>
        <w:tc>
          <w:tcPr>
            <w:tcW w:w="4345"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支出</w:t>
            </w:r>
          </w:p>
        </w:tc>
      </w:tr>
      <w:tr>
        <w:tblPrEx>
          <w:tblCellMar>
            <w:top w:w="0" w:type="dxa"/>
            <w:left w:w="0" w:type="dxa"/>
            <w:bottom w:w="0" w:type="dxa"/>
            <w:right w:w="0" w:type="dxa"/>
          </w:tblCellMar>
        </w:tblPrEx>
        <w:trPr>
          <w:trHeight w:val="496"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w:t>
            </w: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w:t>
            </w: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496"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一、一般公共预算财政拨款收入</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497.99</w:t>
            </w: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一、一般公共服务支出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0.40</w:t>
            </w:r>
          </w:p>
        </w:tc>
      </w:tr>
      <w:tr>
        <w:tblPrEx>
          <w:tblCellMar>
            <w:top w:w="0" w:type="dxa"/>
            <w:left w:w="0" w:type="dxa"/>
            <w:bottom w:w="0" w:type="dxa"/>
            <w:right w:w="0" w:type="dxa"/>
          </w:tblCellMar>
        </w:tblPrEx>
        <w:trPr>
          <w:trHeight w:val="496"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二、政府性基金预算财政拨款收入</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二、外交支出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96"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三、国有资本经营预算财政拨款收入</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三、国防支出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四、上级补助收入</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四、公共安全支出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五、事业收入</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80.83</w:t>
            </w: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五、教育支出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549.61</w:t>
            </w: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六、经营收入</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六、科学技术支出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01"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七、附属单位上缴收入</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七、文化旅游体育与传媒支出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八、其他收入</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174.88</w:t>
            </w: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八、社会保障和就业支出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144.27</w:t>
            </w: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九、卫生健康支出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r>
              <w:rPr>
                <w:rFonts w:hint="eastAsia" w:ascii="仿宋_GB2312" w:hAnsi="仿宋"/>
                <w:color w:val="auto"/>
                <w:sz w:val="18"/>
                <w:szCs w:val="18"/>
                <w:lang w:val="en-US" w:eastAsia="zh-CN"/>
              </w:rPr>
              <w:t>9</w:t>
            </w:r>
            <w:r>
              <w:rPr>
                <w:rFonts w:hint="eastAsia" w:ascii="宋体" w:hAnsi="宋体" w:eastAsia="宋体" w:cs="宋体"/>
                <w:i w:val="0"/>
                <w:iCs w:val="0"/>
                <w:color w:val="auto"/>
                <w:kern w:val="0"/>
                <w:sz w:val="18"/>
                <w:szCs w:val="18"/>
                <w:u w:val="none"/>
                <w:lang w:val="en-US" w:eastAsia="zh-CN" w:bidi="ar"/>
              </w:rPr>
              <w:t>.</w:t>
            </w:r>
            <w:r>
              <w:rPr>
                <w:rFonts w:hint="eastAsia" w:ascii="仿宋_GB2312" w:hAnsi="仿宋"/>
                <w:color w:val="auto"/>
                <w:sz w:val="18"/>
                <w:szCs w:val="18"/>
                <w:lang w:val="en-US" w:eastAsia="zh-CN"/>
              </w:rPr>
              <w:t>19</w:t>
            </w: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十、节能环保支出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十一、城乡社区支出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十二、农林水支出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十三、交通运输支出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96"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十四、资源勘探工业信息等支出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十五、商业服务业等支出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十六、金融支出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十七、援助其他地区支出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96"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十八、自然资源海洋气象等支出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十九、住房保障支出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21.34</w:t>
            </w: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二十、粮油物资储备支出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96"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二十一、国有资本经营预算支出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96"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二十二、灾害防治及应急管理支出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二十三、其他支出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二十四、债务还本支出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二十五、债务付息支出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96"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二十六、抗疫特别国债安排的支出</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本年收入合计</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753.70</w:t>
            </w: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本年支出合计</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724.81</w:t>
            </w: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使用非财政拨款结余</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结余分配</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年初结转和结余</w:t>
            </w: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39.15</w:t>
            </w: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年末结转和结余</w:t>
            </w: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68.04</w:t>
            </w: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113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978"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3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w:t>
            </w:r>
          </w:p>
        </w:tc>
        <w:tc>
          <w:tcPr>
            <w:tcW w:w="1035" w:type="dxa"/>
            <w:tcBorders>
              <w:top w:val="nil"/>
              <w:left w:val="nil"/>
              <w:bottom w:val="single" w:color="000000" w:sz="4" w:space="0"/>
              <w:right w:val="single" w:color="000000" w:sz="8"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53" w:hRule="atLeast"/>
        </w:trPr>
        <w:tc>
          <w:tcPr>
            <w:tcW w:w="2523"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535"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113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792.85</w:t>
            </w:r>
          </w:p>
        </w:tc>
        <w:tc>
          <w:tcPr>
            <w:tcW w:w="2978"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332"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w:t>
            </w:r>
          </w:p>
        </w:tc>
        <w:tc>
          <w:tcPr>
            <w:tcW w:w="1035"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792.85</w:t>
            </w:r>
          </w:p>
        </w:tc>
      </w:tr>
      <w:tr>
        <w:tblPrEx>
          <w:tblCellMar>
            <w:top w:w="0" w:type="dxa"/>
            <w:left w:w="0" w:type="dxa"/>
            <w:bottom w:w="0" w:type="dxa"/>
            <w:right w:w="0" w:type="dxa"/>
          </w:tblCellMar>
        </w:tblPrEx>
        <w:trPr>
          <w:trHeight w:val="503" w:hRule="atLeast"/>
        </w:trPr>
        <w:tc>
          <w:tcPr>
            <w:tcW w:w="8540" w:type="dxa"/>
            <w:gridSpan w:val="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注：本表反映单位本年度的总收支和年末结转结余情况；本套报表金额单位转换成万元时，因四舍五入可能存在尾数误差。</w:t>
            </w:r>
          </w:p>
        </w:tc>
      </w:tr>
    </w:tbl>
    <w:p>
      <w:pPr>
        <w:jc w:val="both"/>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收入决算表</w:t>
      </w:r>
    </w:p>
    <w:tbl>
      <w:tblPr>
        <w:tblStyle w:val="5"/>
        <w:tblW w:w="9253" w:type="dxa"/>
        <w:tblInd w:w="0" w:type="dxa"/>
        <w:tblLayout w:type="fixed"/>
        <w:tblCellMar>
          <w:top w:w="0" w:type="dxa"/>
          <w:left w:w="0" w:type="dxa"/>
          <w:bottom w:w="0" w:type="dxa"/>
          <w:right w:w="0" w:type="dxa"/>
        </w:tblCellMar>
      </w:tblPr>
      <w:tblGrid>
        <w:gridCol w:w="606"/>
        <w:gridCol w:w="264"/>
        <w:gridCol w:w="264"/>
        <w:gridCol w:w="1013"/>
        <w:gridCol w:w="873"/>
        <w:gridCol w:w="955"/>
        <w:gridCol w:w="832"/>
        <w:gridCol w:w="1028"/>
        <w:gridCol w:w="595"/>
        <w:gridCol w:w="818"/>
        <w:gridCol w:w="804"/>
        <w:gridCol w:w="1201"/>
      </w:tblGrid>
      <w:tr>
        <w:tblPrEx>
          <w:tblCellMar>
            <w:top w:w="0" w:type="dxa"/>
            <w:left w:w="0" w:type="dxa"/>
            <w:bottom w:w="0" w:type="dxa"/>
            <w:right w:w="0" w:type="dxa"/>
          </w:tblCellMar>
        </w:tblPrEx>
        <w:trPr>
          <w:trHeight w:val="380" w:hRule="atLeast"/>
        </w:trPr>
        <w:tc>
          <w:tcPr>
            <w:tcW w:w="606"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p>
        </w:tc>
        <w:tc>
          <w:tcPr>
            <w:tcW w:w="26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1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5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3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1"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公开02表</w:t>
            </w:r>
          </w:p>
        </w:tc>
      </w:tr>
      <w:tr>
        <w:tblPrEx>
          <w:tblCellMar>
            <w:top w:w="0" w:type="dxa"/>
            <w:left w:w="0" w:type="dxa"/>
            <w:bottom w:w="0" w:type="dxa"/>
            <w:right w:w="0" w:type="dxa"/>
          </w:tblCellMar>
        </w:tblPrEx>
        <w:trPr>
          <w:trHeight w:val="405" w:hRule="atLeast"/>
        </w:trPr>
        <w:tc>
          <w:tcPr>
            <w:tcW w:w="606"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r>
              <w:rPr>
                <w:rFonts w:hint="eastAsia" w:ascii="宋体" w:hAnsi="宋体" w:eastAsia="宋体" w:cs="宋体"/>
                <w:i w:val="0"/>
                <w:color w:val="auto"/>
                <w:kern w:val="0"/>
                <w:sz w:val="20"/>
                <w:szCs w:val="20"/>
                <w:u w:val="none"/>
                <w:lang w:val="en-US" w:eastAsia="zh-CN" w:bidi="ar"/>
              </w:rPr>
              <w:t>单位</w:t>
            </w:r>
            <w:r>
              <w:rPr>
                <w:rFonts w:hint="eastAsia" w:ascii="宋体" w:hAnsi="宋体" w:eastAsia="宋体" w:cs="宋体"/>
                <w:i w:val="0"/>
                <w:color w:val="auto"/>
                <w:kern w:val="0"/>
                <w:sz w:val="22"/>
                <w:szCs w:val="22"/>
                <w:u w:val="none"/>
                <w:lang w:val="en-US" w:eastAsia="zh-CN" w:bidi="ar"/>
              </w:rPr>
              <w:t>：</w:t>
            </w:r>
          </w:p>
        </w:tc>
        <w:tc>
          <w:tcPr>
            <w:tcW w:w="26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1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5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3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1"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bl>
    <w:tbl>
      <w:tblPr>
        <w:tblStyle w:val="5"/>
        <w:tblpPr w:leftFromText="180" w:rightFromText="180" w:vertAnchor="text" w:horzAnchor="page" w:tblpX="1897" w:tblpY="28"/>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355"/>
        <w:gridCol w:w="367"/>
        <w:gridCol w:w="2217"/>
        <w:gridCol w:w="906"/>
        <w:gridCol w:w="955"/>
        <w:gridCol w:w="563"/>
        <w:gridCol w:w="857"/>
        <w:gridCol w:w="588"/>
        <w:gridCol w:w="597"/>
        <w:gridCol w:w="398"/>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474"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w:t>
            </w:r>
          </w:p>
        </w:tc>
        <w:tc>
          <w:tcPr>
            <w:tcW w:w="90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本年收入合计</w:t>
            </w:r>
          </w:p>
        </w:tc>
        <w:tc>
          <w:tcPr>
            <w:tcW w:w="95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财政拨款收入</w:t>
            </w:r>
          </w:p>
        </w:tc>
        <w:tc>
          <w:tcPr>
            <w:tcW w:w="56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上级补助收入</w:t>
            </w:r>
          </w:p>
        </w:tc>
        <w:tc>
          <w:tcPr>
            <w:tcW w:w="1445" w:type="dxa"/>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事业收入</w:t>
            </w:r>
          </w:p>
        </w:tc>
        <w:tc>
          <w:tcPr>
            <w:tcW w:w="59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经营收入</w:t>
            </w:r>
          </w:p>
        </w:tc>
        <w:tc>
          <w:tcPr>
            <w:tcW w:w="39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附属单位上缴收入</w:t>
            </w:r>
          </w:p>
        </w:tc>
        <w:tc>
          <w:tcPr>
            <w:tcW w:w="92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257"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科目代码</w:t>
            </w:r>
          </w:p>
        </w:tc>
        <w:tc>
          <w:tcPr>
            <w:tcW w:w="2217"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科目名称</w:t>
            </w:r>
          </w:p>
        </w:tc>
        <w:tc>
          <w:tcPr>
            <w:tcW w:w="9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95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56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445" w:type="dxa"/>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59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39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92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257"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2217"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22"/>
                <w:szCs w:val="22"/>
                <w:u w:val="none"/>
              </w:rPr>
            </w:pPr>
          </w:p>
        </w:tc>
        <w:tc>
          <w:tcPr>
            <w:tcW w:w="9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95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56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85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58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其中：教育收费</w:t>
            </w:r>
          </w:p>
        </w:tc>
        <w:tc>
          <w:tcPr>
            <w:tcW w:w="59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39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92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trPr>
        <w:tc>
          <w:tcPr>
            <w:tcW w:w="1257"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2217"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22"/>
                <w:szCs w:val="22"/>
                <w:u w:val="none"/>
              </w:rPr>
            </w:pPr>
          </w:p>
        </w:tc>
        <w:tc>
          <w:tcPr>
            <w:tcW w:w="9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95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56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85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58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0"/>
                <w:szCs w:val="20"/>
                <w:u w:val="none"/>
              </w:rPr>
            </w:pPr>
          </w:p>
        </w:tc>
        <w:tc>
          <w:tcPr>
            <w:tcW w:w="59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39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92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35"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类</w:t>
            </w:r>
          </w:p>
        </w:tc>
        <w:tc>
          <w:tcPr>
            <w:tcW w:w="355"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款</w:t>
            </w:r>
          </w:p>
        </w:tc>
        <w:tc>
          <w:tcPr>
            <w:tcW w:w="367"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22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栏次</w:t>
            </w:r>
          </w:p>
        </w:tc>
        <w:tc>
          <w:tcPr>
            <w:tcW w:w="906"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955"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63"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57"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88"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597"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98"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927"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35"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18"/>
                <w:szCs w:val="18"/>
                <w:u w:val="none"/>
              </w:rPr>
            </w:pPr>
          </w:p>
        </w:tc>
        <w:tc>
          <w:tcPr>
            <w:tcW w:w="355"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18"/>
                <w:szCs w:val="18"/>
                <w:u w:val="none"/>
              </w:rPr>
            </w:pPr>
          </w:p>
        </w:tc>
        <w:tc>
          <w:tcPr>
            <w:tcW w:w="367"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18"/>
                <w:szCs w:val="18"/>
                <w:u w:val="none"/>
              </w:rPr>
            </w:pPr>
          </w:p>
        </w:tc>
        <w:tc>
          <w:tcPr>
            <w:tcW w:w="22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753.70</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497.99</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80.83</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174.88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一般公共服务支出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20136</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其他共产党事务支出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2013699</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其他共产党事务支出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教育支出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578.49</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322.78</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80.83</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20502</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普通教育</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578.49</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322.78</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80.83</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2050202</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小学教育</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420.07</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320.69</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80.83</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2050299</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其他普通教育支出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158.42</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社会保障和就业支出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144.27</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144.27</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行政事业单位养老支出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141.50</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141.50</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2080502</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事业单位离退休</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85.40</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85.40</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2080505</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机关事业单位基本养老保险缴费支出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37.40</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37.40</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2080506</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机关事业单位职业年金缴费支出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18.70</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18.70</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20808</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抚恤</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2080801</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死亡抚恤</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卫生健康支出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21011</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行政事业单位医疗</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2101102</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事业单位医疗</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住房保障支出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22102</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住房改革支出</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2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2210201</w:t>
            </w:r>
          </w:p>
        </w:tc>
        <w:tc>
          <w:tcPr>
            <w:tcW w:w="22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住房公积金</w:t>
            </w:r>
          </w:p>
        </w:tc>
        <w:tc>
          <w:tcPr>
            <w:tcW w:w="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9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5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5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59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9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bl>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注：本表反映单位本年度取得的各项收入情况。</w:t>
      </w:r>
    </w:p>
    <w:p>
      <w:pPr>
        <w:ind w:firstLine="640" w:firstLineChars="200"/>
        <w:rPr>
          <w:rFonts w:hint="eastAsia" w:ascii="黑体" w:hAnsi="黑体" w:eastAsia="黑体"/>
          <w:color w:val="auto"/>
          <w:szCs w:val="32"/>
          <w:lang w:eastAsia="zh-CN"/>
        </w:rPr>
      </w:pPr>
    </w:p>
    <w:p>
      <w:pPr>
        <w:jc w:val="both"/>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支出决算表</w:t>
      </w:r>
    </w:p>
    <w:tbl>
      <w:tblPr>
        <w:tblStyle w:val="5"/>
        <w:tblW w:w="9339" w:type="dxa"/>
        <w:tblInd w:w="0" w:type="dxa"/>
        <w:tblLayout w:type="fixed"/>
        <w:tblCellMar>
          <w:top w:w="0" w:type="dxa"/>
          <w:left w:w="0" w:type="dxa"/>
          <w:bottom w:w="0" w:type="dxa"/>
          <w:right w:w="0" w:type="dxa"/>
        </w:tblCellMar>
      </w:tblPr>
      <w:tblGrid>
        <w:gridCol w:w="675"/>
        <w:gridCol w:w="294"/>
        <w:gridCol w:w="294"/>
        <w:gridCol w:w="980"/>
        <w:gridCol w:w="1459"/>
        <w:gridCol w:w="1023"/>
        <w:gridCol w:w="1077"/>
        <w:gridCol w:w="1050"/>
        <w:gridCol w:w="1105"/>
        <w:gridCol w:w="1382"/>
      </w:tblGrid>
      <w:tr>
        <w:tblPrEx>
          <w:tblCellMar>
            <w:top w:w="0" w:type="dxa"/>
            <w:left w:w="0" w:type="dxa"/>
            <w:bottom w:w="0" w:type="dxa"/>
            <w:right w:w="0" w:type="dxa"/>
          </w:tblCellMar>
        </w:tblPrEx>
        <w:trPr>
          <w:trHeight w:val="444" w:hRule="atLeast"/>
        </w:trPr>
        <w:tc>
          <w:tcPr>
            <w:tcW w:w="675"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45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82"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公开03表</w:t>
            </w:r>
          </w:p>
        </w:tc>
      </w:tr>
      <w:tr>
        <w:tblPrEx>
          <w:tblCellMar>
            <w:top w:w="0" w:type="dxa"/>
            <w:left w:w="0" w:type="dxa"/>
            <w:bottom w:w="0" w:type="dxa"/>
            <w:right w:w="0" w:type="dxa"/>
          </w:tblCellMar>
        </w:tblPrEx>
        <w:trPr>
          <w:trHeight w:val="452" w:hRule="atLeast"/>
        </w:trPr>
        <w:tc>
          <w:tcPr>
            <w:tcW w:w="675"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r>
              <w:rPr>
                <w:rFonts w:hint="eastAsia" w:ascii="仿宋_GB2312" w:hAnsi="仿宋_GB2312" w:eastAsia="仿宋_GB2312" w:cs="仿宋_GB2312"/>
                <w:b w:val="0"/>
                <w:bCs/>
                <w:color w:val="auto"/>
                <w:sz w:val="21"/>
                <w:szCs w:val="21"/>
                <w:lang w:val="en-US" w:eastAsia="zh-CN"/>
              </w:rPr>
              <w:t>：</w:t>
            </w: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45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82"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405" w:hRule="atLeast"/>
        </w:trPr>
        <w:tc>
          <w:tcPr>
            <w:tcW w:w="9339" w:type="dxa"/>
            <w:gridSpan w:val="10"/>
            <w:tcBorders>
              <w:top w:val="nil"/>
              <w:left w:val="nil"/>
              <w:bottom w:val="nil"/>
              <w:right w:val="nil"/>
            </w:tcBorders>
            <w:noWrap w:val="0"/>
            <w:tcMar>
              <w:top w:w="12" w:type="dxa"/>
              <w:left w:w="12" w:type="dxa"/>
              <w:right w:w="12" w:type="dxa"/>
            </w:tcMar>
            <w:vAlign w:val="center"/>
          </w:tcPr>
          <w:tbl>
            <w:tblPr>
              <w:tblStyle w:val="5"/>
              <w:tblpPr w:leftFromText="180" w:rightFromText="180" w:vertAnchor="text" w:horzAnchor="page" w:tblpX="147" w:tblpY="-53"/>
              <w:tblOverlap w:val="never"/>
              <w:tblW w:w="94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343"/>
              <w:gridCol w:w="345"/>
              <w:gridCol w:w="2059"/>
              <w:gridCol w:w="1029"/>
              <w:gridCol w:w="1029"/>
              <w:gridCol w:w="1029"/>
              <w:gridCol w:w="1029"/>
              <w:gridCol w:w="1029"/>
              <w:gridCol w:w="1029"/>
              <w:gridCol w:w="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22" w:hRule="atLeast"/>
              </w:trPr>
              <w:tc>
                <w:tcPr>
                  <w:tcW w:w="3142"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w:t>
                  </w:r>
                </w:p>
              </w:tc>
              <w:tc>
                <w:tcPr>
                  <w:tcW w:w="102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本年支出合计</w:t>
                  </w:r>
                </w:p>
              </w:tc>
              <w:tc>
                <w:tcPr>
                  <w:tcW w:w="102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基本支出</w:t>
                  </w:r>
                </w:p>
              </w:tc>
              <w:tc>
                <w:tcPr>
                  <w:tcW w:w="102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w:t>
                  </w:r>
                </w:p>
              </w:tc>
              <w:tc>
                <w:tcPr>
                  <w:tcW w:w="102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上缴上级支出</w:t>
                  </w:r>
                </w:p>
              </w:tc>
              <w:tc>
                <w:tcPr>
                  <w:tcW w:w="102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经营支出</w:t>
                  </w:r>
                </w:p>
              </w:tc>
              <w:tc>
                <w:tcPr>
                  <w:tcW w:w="102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12" w:hRule="atLeast"/>
              </w:trPr>
              <w:tc>
                <w:tcPr>
                  <w:tcW w:w="1083"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科目代码</w:t>
                  </w:r>
                </w:p>
              </w:tc>
              <w:tc>
                <w:tcPr>
                  <w:tcW w:w="2059"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科目名称</w:t>
                  </w: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12" w:hRule="atLeast"/>
              </w:trPr>
              <w:tc>
                <w:tcPr>
                  <w:tcW w:w="1083"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2059"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22" w:hRule="atLeast"/>
              </w:trPr>
              <w:tc>
                <w:tcPr>
                  <w:tcW w:w="1083"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2059"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c>
                <w:tcPr>
                  <w:tcW w:w="10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95"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类</w:t>
                  </w:r>
                </w:p>
              </w:tc>
              <w:tc>
                <w:tcPr>
                  <w:tcW w:w="343"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款</w:t>
                  </w:r>
                </w:p>
              </w:tc>
              <w:tc>
                <w:tcPr>
                  <w:tcW w:w="345"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20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栏次</w:t>
                  </w:r>
                </w:p>
              </w:tc>
              <w:tc>
                <w:tcPr>
                  <w:tcW w:w="1029"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9"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29"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29"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29"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79" w:type="dxa"/>
                  <w:gridSpan w:val="2"/>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95"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18"/>
                      <w:szCs w:val="18"/>
                      <w:u w:val="none"/>
                    </w:rPr>
                  </w:pPr>
                </w:p>
              </w:tc>
              <w:tc>
                <w:tcPr>
                  <w:tcW w:w="343"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18"/>
                      <w:szCs w:val="18"/>
                      <w:u w:val="none"/>
                    </w:rPr>
                  </w:pPr>
                </w:p>
              </w:tc>
              <w:tc>
                <w:tcPr>
                  <w:tcW w:w="345"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18"/>
                      <w:szCs w:val="18"/>
                      <w:u w:val="none"/>
                    </w:rPr>
                  </w:pPr>
                </w:p>
              </w:tc>
              <w:tc>
                <w:tcPr>
                  <w:tcW w:w="20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724.81</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609.44</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115.37</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b w:val="0"/>
                      <w:bCs w:val="0"/>
                      <w:i w:val="0"/>
                      <w:iCs w:val="0"/>
                      <w:color w:val="auto"/>
                      <w:sz w:val="18"/>
                      <w:szCs w:val="18"/>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auto"/>
                      <w:sz w:val="18"/>
                      <w:szCs w:val="18"/>
                      <w:u w:val="none"/>
                    </w:rPr>
                  </w:pPr>
                </w:p>
              </w:tc>
              <w:tc>
                <w:tcPr>
                  <w:tcW w:w="1179"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452"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一般公共服务支出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464"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20136</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其他共产党事务支出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513"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2013699</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其他共产党事务支出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299"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教育支出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549.61</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434.23</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115.37</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22"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20502</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普通教育</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549.61</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434.23</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115.37</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403"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2050202</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小学教育</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417.47</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387.31</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30.17</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54"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2050299</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其他普通教育支出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132.13</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46.93</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85.21</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429"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社会保障和就业支出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144.27</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144.27</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452"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行政事业单位养老支出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141.50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141.50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80"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2080502</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事业单位离退休</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85.40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85.40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763"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2080505</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机关事业单位基本养老保险缴费支出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633"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2080506</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机关事业单位职业年金缴费支出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22"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20808</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抚恤</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90"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2080801</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死亡抚恤</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22"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卫生健康支出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427"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21011</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行政事业单位医疗</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66"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2101102</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事业单位医疗</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22"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住房保障支出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22"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22102</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住房改革支出</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643" w:hRule="atLeast"/>
              </w:trPr>
              <w:tc>
                <w:tcPr>
                  <w:tcW w:w="1083"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2210201</w:t>
                  </w:r>
                </w:p>
              </w:tc>
              <w:tc>
                <w:tcPr>
                  <w:tcW w:w="20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住房公积金</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10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bl>
          <w:p>
            <w:pPr>
              <w:keepNext w:val="0"/>
              <w:keepLines w:val="0"/>
              <w:widowControl/>
              <w:suppressLineNumbers w:val="0"/>
              <w:jc w:val="left"/>
              <w:textAlignment w:val="center"/>
              <w:rPr>
                <w:rFonts w:hint="eastAsia" w:ascii="宋体" w:hAnsi="宋体" w:eastAsia="宋体" w:cs="宋体"/>
                <w:i w:val="0"/>
                <w:color w:val="auto"/>
                <w:sz w:val="22"/>
                <w:szCs w:val="22"/>
                <w:u w:val="none"/>
              </w:rPr>
            </w:pPr>
          </w:p>
        </w:tc>
      </w:tr>
    </w:tbl>
    <w:p>
      <w:pP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注：本表反映单位本年度各项支出情况。</w:t>
      </w:r>
    </w:p>
    <w:p>
      <w:pPr>
        <w:rPr>
          <w:rFonts w:hint="eastAsia" w:ascii="宋体" w:hAnsi="宋体" w:eastAsia="宋体" w:cs="宋体"/>
          <w:i w:val="0"/>
          <w:color w:val="auto"/>
          <w:kern w:val="0"/>
          <w:sz w:val="22"/>
          <w:szCs w:val="22"/>
          <w:u w:val="none"/>
          <w:lang w:val="en-US" w:eastAsia="zh-CN" w:bidi="ar"/>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tbl>
      <w:tblPr>
        <w:tblStyle w:val="5"/>
        <w:tblW w:w="9020" w:type="dxa"/>
        <w:tblInd w:w="0" w:type="dxa"/>
        <w:tblLayout w:type="fixed"/>
        <w:tblCellMar>
          <w:top w:w="0" w:type="dxa"/>
          <w:left w:w="0" w:type="dxa"/>
          <w:bottom w:w="0" w:type="dxa"/>
          <w:right w:w="0" w:type="dxa"/>
        </w:tblCellMar>
      </w:tblPr>
      <w:tblGrid>
        <w:gridCol w:w="1939"/>
        <w:gridCol w:w="447"/>
        <w:gridCol w:w="806"/>
        <w:gridCol w:w="2391"/>
        <w:gridCol w:w="403"/>
        <w:gridCol w:w="720"/>
        <w:gridCol w:w="787"/>
        <w:gridCol w:w="152"/>
        <w:gridCol w:w="271"/>
        <w:gridCol w:w="382"/>
        <w:gridCol w:w="722"/>
      </w:tblGrid>
      <w:tr>
        <w:tblPrEx>
          <w:tblCellMar>
            <w:top w:w="0" w:type="dxa"/>
            <w:left w:w="0" w:type="dxa"/>
            <w:bottom w:w="0" w:type="dxa"/>
            <w:right w:w="0" w:type="dxa"/>
          </w:tblCellMar>
        </w:tblPrEx>
        <w:trPr>
          <w:trHeight w:val="396" w:hRule="atLeast"/>
        </w:trPr>
        <w:tc>
          <w:tcPr>
            <w:tcW w:w="1939"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44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3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公开04表</w:t>
            </w:r>
          </w:p>
        </w:tc>
      </w:tr>
      <w:tr>
        <w:tblPrEx>
          <w:tblCellMar>
            <w:top w:w="0" w:type="dxa"/>
            <w:left w:w="0" w:type="dxa"/>
            <w:bottom w:w="0" w:type="dxa"/>
            <w:right w:w="0" w:type="dxa"/>
          </w:tblCellMar>
        </w:tblPrEx>
        <w:trPr>
          <w:trHeight w:val="372" w:hRule="atLeast"/>
        </w:trPr>
        <w:tc>
          <w:tcPr>
            <w:tcW w:w="1939"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18"/>
                <w:szCs w:val="18"/>
                <w:u w:val="none"/>
                <w:lang w:val="en-US" w:eastAsia="zh-CN" w:bidi="ar"/>
              </w:rPr>
              <w:t>单位：</w:t>
            </w:r>
          </w:p>
        </w:tc>
        <w:tc>
          <w:tcPr>
            <w:tcW w:w="44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3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467" w:hRule="atLeast"/>
        </w:trPr>
        <w:tc>
          <w:tcPr>
            <w:tcW w:w="319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收入</w:t>
            </w:r>
          </w:p>
        </w:tc>
        <w:tc>
          <w:tcPr>
            <w:tcW w:w="5828" w:type="dxa"/>
            <w:gridSpan w:val="8"/>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支出</w:t>
            </w:r>
          </w:p>
        </w:tc>
      </w:tr>
      <w:tr>
        <w:tblPrEx>
          <w:tblCellMar>
            <w:top w:w="0" w:type="dxa"/>
            <w:left w:w="0" w:type="dxa"/>
            <w:bottom w:w="0" w:type="dxa"/>
            <w:right w:w="0" w:type="dxa"/>
          </w:tblCellMar>
        </w:tblPrEx>
        <w:trPr>
          <w:trHeight w:val="224" w:hRule="atLeast"/>
        </w:trPr>
        <w:tc>
          <w:tcPr>
            <w:tcW w:w="193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4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80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w:t>
            </w:r>
          </w:p>
        </w:tc>
        <w:tc>
          <w:tcPr>
            <w:tcW w:w="2391"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0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72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78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一般公共预算财政拨款</w:t>
            </w:r>
          </w:p>
        </w:tc>
        <w:tc>
          <w:tcPr>
            <w:tcW w:w="805"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政府性基金预算财政拨款</w:t>
            </w:r>
          </w:p>
        </w:tc>
        <w:tc>
          <w:tcPr>
            <w:tcW w:w="722" w:type="dxa"/>
            <w:vMerge w:val="restart"/>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国有资本经营预算财政拨款</w:t>
            </w:r>
          </w:p>
        </w:tc>
      </w:tr>
      <w:tr>
        <w:tblPrEx>
          <w:tblCellMar>
            <w:top w:w="0" w:type="dxa"/>
            <w:left w:w="0" w:type="dxa"/>
            <w:bottom w:w="0" w:type="dxa"/>
            <w:right w:w="0" w:type="dxa"/>
          </w:tblCellMar>
        </w:tblPrEx>
        <w:trPr>
          <w:trHeight w:val="533" w:hRule="atLeast"/>
        </w:trPr>
        <w:tc>
          <w:tcPr>
            <w:tcW w:w="193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44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80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2391"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40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8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805"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2" w:type="dxa"/>
            <w:vMerge w:val="continue"/>
            <w:tcBorders>
              <w:top w:val="nil"/>
              <w:left w:val="nil"/>
              <w:bottom w:val="single" w:color="000000" w:sz="4" w:space="0"/>
              <w:right w:val="single" w:color="000000" w:sz="8"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5</w:t>
            </w:r>
          </w:p>
        </w:tc>
      </w:tr>
      <w:tr>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一、一般公共预算财政拨款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497.99</w:t>
            </w: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一、一般公共服务支出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0.40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0.40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二、政府性基金预算财政拨款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二、外交支出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三、国有资本经营预算财政拨款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四、公共安全支出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五、教育支出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322.78</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322.78</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六、科学技术支出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7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七、文化旅游体育与传媒支出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1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八、社会保障和就业支出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144.27</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144.27</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九、卫生健康支出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r>
              <w:rPr>
                <w:rFonts w:hint="eastAsia" w:ascii="仿宋_GB2312" w:hAnsi="仿宋"/>
                <w:color w:val="auto"/>
                <w:sz w:val="18"/>
                <w:szCs w:val="18"/>
                <w:lang w:val="en-US" w:eastAsia="zh-CN"/>
              </w:rPr>
              <w:t>9</w:t>
            </w:r>
            <w:r>
              <w:rPr>
                <w:rFonts w:hint="eastAsia" w:ascii="宋体" w:hAnsi="宋体" w:eastAsia="宋体" w:cs="宋体"/>
                <w:i w:val="0"/>
                <w:iCs w:val="0"/>
                <w:color w:val="auto"/>
                <w:kern w:val="0"/>
                <w:sz w:val="18"/>
                <w:szCs w:val="18"/>
                <w:u w:val="none"/>
                <w:lang w:val="en-US" w:eastAsia="zh-CN" w:bidi="ar"/>
              </w:rPr>
              <w:t>.</w:t>
            </w:r>
            <w:r>
              <w:rPr>
                <w:rFonts w:hint="eastAsia" w:ascii="仿宋_GB2312" w:hAnsi="仿宋"/>
                <w:color w:val="auto"/>
                <w:sz w:val="18"/>
                <w:szCs w:val="18"/>
                <w:lang w:val="en-US" w:eastAsia="zh-CN"/>
              </w:rPr>
              <w:t>19</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r>
              <w:rPr>
                <w:rFonts w:hint="eastAsia" w:ascii="仿宋_GB2312" w:hAnsi="仿宋"/>
                <w:color w:val="auto"/>
                <w:sz w:val="18"/>
                <w:szCs w:val="18"/>
                <w:lang w:val="en-US" w:eastAsia="zh-CN"/>
              </w:rPr>
              <w:t>9</w:t>
            </w:r>
            <w:r>
              <w:rPr>
                <w:rFonts w:hint="eastAsia" w:ascii="宋体" w:hAnsi="宋体" w:eastAsia="宋体" w:cs="宋体"/>
                <w:i w:val="0"/>
                <w:iCs w:val="0"/>
                <w:color w:val="auto"/>
                <w:kern w:val="0"/>
                <w:sz w:val="18"/>
                <w:szCs w:val="18"/>
                <w:u w:val="none"/>
                <w:lang w:val="en-US" w:eastAsia="zh-CN" w:bidi="ar"/>
              </w:rPr>
              <w:t>.</w:t>
            </w:r>
            <w:r>
              <w:rPr>
                <w:rFonts w:hint="eastAsia" w:ascii="仿宋_GB2312" w:hAnsi="仿宋"/>
                <w:color w:val="auto"/>
                <w:sz w:val="18"/>
                <w:szCs w:val="18"/>
                <w:lang w:val="en-US" w:eastAsia="zh-CN"/>
              </w:rPr>
              <w:t>19</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十、节能环保支出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十一、城乡社区支出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十二、农林水支出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十三、交通运输支出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十四、资源勘探工业信息等支出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十五、商业服务业等支出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十六、金融支出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十七、援助其他地区支出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十八、自然资源海洋气象等支出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十九、住房保障支出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21.34</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21.34</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二十、粮油物资储备支出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二十一、国有资本经营预算支出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二十二、灾害防治及应急管理支出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二十三、其他支出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本年收入合计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497.99</w:t>
            </w: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二十四、债务还本支出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9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年初财政拨款结转和结余</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二十五、债务付息支出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二十六、抗疫特别国债安排的支出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16"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本年支出合计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497.99</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497.99</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16"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3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年末财政拨款结转和结余</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3" w:hRule="atLeast"/>
        </w:trPr>
        <w:tc>
          <w:tcPr>
            <w:tcW w:w="193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4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806"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497.99</w:t>
            </w:r>
          </w:p>
        </w:tc>
        <w:tc>
          <w:tcPr>
            <w:tcW w:w="2391"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03"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720"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497.99</w:t>
            </w:r>
          </w:p>
        </w:tc>
        <w:tc>
          <w:tcPr>
            <w:tcW w:w="78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497.99</w:t>
            </w:r>
          </w:p>
        </w:tc>
        <w:tc>
          <w:tcPr>
            <w:tcW w:w="805" w:type="dxa"/>
            <w:gridSpan w:val="3"/>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8"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794" w:hRule="atLeast"/>
        </w:trPr>
        <w:tc>
          <w:tcPr>
            <w:tcW w:w="9020" w:type="dxa"/>
            <w:gridSpan w:val="11"/>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注：本表反映单位本年度一般公共预算财政拨款、政府性基金预算财政拨款和国有资本经营预算财政拨款的总收支和年末结转结余情况。</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一般公共预算财政拨款支出决算表</w:t>
      </w:r>
    </w:p>
    <w:tbl>
      <w:tblPr>
        <w:tblStyle w:val="5"/>
        <w:tblW w:w="8843" w:type="dxa"/>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tblPrEx>
          <w:tblCellMar>
            <w:top w:w="0" w:type="dxa"/>
            <w:left w:w="0" w:type="dxa"/>
            <w:bottom w:w="0" w:type="dxa"/>
            <w:right w:w="0" w:type="dxa"/>
          </w:tblCellMar>
        </w:tblPrEx>
        <w:trPr>
          <w:trHeight w:val="499" w:hRule="atLeast"/>
        </w:trPr>
        <w:tc>
          <w:tcPr>
            <w:tcW w:w="445"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542"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公开05表</w:t>
            </w:r>
          </w:p>
        </w:tc>
      </w:tr>
      <w:tr>
        <w:tblPrEx>
          <w:tblCellMar>
            <w:top w:w="0" w:type="dxa"/>
            <w:left w:w="0" w:type="dxa"/>
            <w:bottom w:w="0" w:type="dxa"/>
            <w:right w:w="0" w:type="dxa"/>
          </w:tblCellMar>
        </w:tblPrEx>
        <w:trPr>
          <w:trHeight w:val="501" w:hRule="atLeast"/>
        </w:trPr>
        <w:tc>
          <w:tcPr>
            <w:tcW w:w="987" w:type="dxa"/>
            <w:gridSpan w:val="3"/>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单位：</w:t>
            </w:r>
          </w:p>
        </w:tc>
        <w:tc>
          <w:tcPr>
            <w:tcW w:w="3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519"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科目代码</w:t>
            </w:r>
          </w:p>
        </w:tc>
        <w:tc>
          <w:tcPr>
            <w:tcW w:w="19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科目名称</w:t>
            </w:r>
          </w:p>
        </w:tc>
        <w:tc>
          <w:tcPr>
            <w:tcW w:w="5565" w:type="dxa"/>
            <w:gridSpan w:val="5"/>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本年支出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774"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w:t>
            </w:r>
          </w:p>
        </w:tc>
        <w:tc>
          <w:tcPr>
            <w:tcW w:w="18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基本支出</w:t>
            </w:r>
          </w:p>
        </w:tc>
        <w:tc>
          <w:tcPr>
            <w:tcW w:w="190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85" w:hRule="atLeast"/>
        </w:trPr>
        <w:tc>
          <w:tcPr>
            <w:tcW w:w="445"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类</w:t>
            </w:r>
          </w:p>
        </w:tc>
        <w:tc>
          <w:tcPr>
            <w:tcW w:w="44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款</w:t>
            </w:r>
          </w:p>
        </w:tc>
        <w:tc>
          <w:tcPr>
            <w:tcW w:w="4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r>
      <w:tr>
        <w:tblPrEx>
          <w:tblCellMar>
            <w:top w:w="0" w:type="dxa"/>
            <w:left w:w="0" w:type="dxa"/>
            <w:bottom w:w="0" w:type="dxa"/>
            <w:right w:w="0" w:type="dxa"/>
          </w:tblCellMar>
        </w:tblPrEx>
        <w:trPr>
          <w:trHeight w:val="413" w:hRule="atLeast"/>
        </w:trPr>
        <w:tc>
          <w:tcPr>
            <w:tcW w:w="445"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44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4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497.99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465.73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32.26</w:t>
            </w:r>
          </w:p>
        </w:tc>
      </w:tr>
      <w:tr>
        <w:tblPrEx>
          <w:tblCellMar>
            <w:top w:w="0" w:type="dxa"/>
            <w:left w:w="0" w:type="dxa"/>
            <w:bottom w:w="0" w:type="dxa"/>
            <w:right w:w="0" w:type="dxa"/>
          </w:tblCellMar>
        </w:tblPrEx>
        <w:trPr>
          <w:trHeight w:val="505" w:hRule="atLeast"/>
        </w:trPr>
        <w:tc>
          <w:tcPr>
            <w:tcW w:w="8843" w:type="dxa"/>
            <w:gridSpan w:val="10"/>
            <w:tcBorders>
              <w:top w:val="nil"/>
              <w:left w:val="nil"/>
              <w:bottom w:val="nil"/>
              <w:right w:val="nil"/>
            </w:tcBorders>
            <w:noWrap w:val="0"/>
            <w:tcMar>
              <w:top w:w="12" w:type="dxa"/>
              <w:left w:w="12" w:type="dxa"/>
              <w:right w:w="12" w:type="dxa"/>
            </w:tcMar>
            <w:vAlign w:val="center"/>
          </w:tcPr>
          <w:tbl>
            <w:tblPr>
              <w:tblStyle w:val="5"/>
              <w:tblW w:w="8902"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8"/>
              <w:gridCol w:w="2274"/>
              <w:gridCol w:w="1763"/>
              <w:gridCol w:w="1922"/>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一般公共服务支出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20136</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其他共产党事务支出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2013699</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其他共产党事务支出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教育支出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322.78</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290.53</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20502</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普通教育</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322.78</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290.53</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2050202</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小学教育</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320.69</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290.53</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2050299</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其他普通教育支出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20509</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教育费附加安排的支出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2050999</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其他教育费附加安排的支出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社会保障和就业支出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144.27</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144.27</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行政事业单位养老支出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141.50</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141.50</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2080502</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事业单位离退休</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85.40</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85.40</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2080505</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机关事业单位基本养老保险缴费支出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37.40</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37.40</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2080506</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机关事业单位职业年金缴费支出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18.70</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18.70</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20808</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抚恤</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2080801</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死亡抚恤</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卫生健康支出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21011</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行政事业单位医疗</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2101102</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事业单位医疗</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9.19</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住房保障支出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22102</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住房改革支出</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2210201</w:t>
                  </w:r>
                </w:p>
              </w:tc>
              <w:tc>
                <w:tcPr>
                  <w:tcW w:w="22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住房公积金</w:t>
                  </w:r>
                </w:p>
              </w:tc>
              <w:tc>
                <w:tcPr>
                  <w:tcW w:w="176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92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9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bl>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CellMar>
            <w:top w:w="0" w:type="dxa"/>
            <w:left w:w="0" w:type="dxa"/>
            <w:bottom w:w="0" w:type="dxa"/>
            <w:right w:w="0" w:type="dxa"/>
          </w:tblCellMar>
        </w:tblPrEx>
        <w:trPr>
          <w:trHeight w:val="505" w:hRule="atLeast"/>
        </w:trPr>
        <w:tc>
          <w:tcPr>
            <w:tcW w:w="8843" w:type="dxa"/>
            <w:gridSpan w:val="10"/>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注：本表反映单位本年度一般公共预算财政拨款支出情况。</w:t>
            </w:r>
          </w:p>
        </w:tc>
      </w:tr>
    </w:tbl>
    <w:p>
      <w:pPr>
        <w:jc w:val="both"/>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一般公共预算财政拨款基本支出决算</w:t>
      </w:r>
      <w:r>
        <w:rPr>
          <w:rFonts w:hint="eastAsia" w:ascii="黑体" w:hAnsi="黑体" w:eastAsia="黑体"/>
          <w:color w:val="auto"/>
          <w:szCs w:val="32"/>
          <w:lang w:eastAsia="zh-CN"/>
        </w:rPr>
        <w:t>明细</w:t>
      </w:r>
      <w:r>
        <w:rPr>
          <w:rFonts w:hint="eastAsia" w:ascii="黑体" w:hAnsi="黑体" w:eastAsia="黑体"/>
          <w:color w:val="auto"/>
          <w:szCs w:val="32"/>
        </w:rPr>
        <w:t>表</w:t>
      </w:r>
    </w:p>
    <w:tbl>
      <w:tblPr>
        <w:tblStyle w:val="5"/>
        <w:tblW w:w="8898" w:type="dxa"/>
        <w:tblInd w:w="0" w:type="dxa"/>
        <w:tblLayout w:type="fixed"/>
        <w:tblCellMar>
          <w:top w:w="0" w:type="dxa"/>
          <w:left w:w="0" w:type="dxa"/>
          <w:bottom w:w="0" w:type="dxa"/>
          <w:right w:w="0" w:type="dxa"/>
        </w:tblCellMar>
      </w:tblPr>
      <w:tblGrid>
        <w:gridCol w:w="520"/>
        <w:gridCol w:w="86"/>
        <w:gridCol w:w="1791"/>
        <w:gridCol w:w="622"/>
        <w:gridCol w:w="578"/>
        <w:gridCol w:w="1702"/>
        <w:gridCol w:w="524"/>
        <w:gridCol w:w="523"/>
        <w:gridCol w:w="110"/>
        <w:gridCol w:w="1692"/>
        <w:gridCol w:w="177"/>
        <w:gridCol w:w="573"/>
      </w:tblGrid>
      <w:tr>
        <w:tblPrEx>
          <w:tblCellMar>
            <w:top w:w="0" w:type="dxa"/>
            <w:left w:w="0" w:type="dxa"/>
            <w:bottom w:w="0" w:type="dxa"/>
            <w:right w:w="0" w:type="dxa"/>
          </w:tblCellMar>
        </w:tblPrEx>
        <w:trPr>
          <w:trHeight w:val="504" w:hRule="atLeast"/>
        </w:trPr>
        <w:tc>
          <w:tcPr>
            <w:tcW w:w="606"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1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2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9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50"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公开06表</w:t>
            </w:r>
          </w:p>
        </w:tc>
      </w:tr>
      <w:tr>
        <w:tblPrEx>
          <w:tblCellMar>
            <w:top w:w="0" w:type="dxa"/>
            <w:left w:w="0" w:type="dxa"/>
            <w:bottom w:w="0" w:type="dxa"/>
            <w:right w:w="0" w:type="dxa"/>
          </w:tblCellMar>
        </w:tblPrEx>
        <w:trPr>
          <w:trHeight w:val="492"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p>
        </w:tc>
        <w:tc>
          <w:tcPr>
            <w:tcW w:w="1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2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442"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515" w:hRule="atLeast"/>
        </w:trPr>
        <w:tc>
          <w:tcPr>
            <w:tcW w:w="301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人员经费</w:t>
            </w:r>
          </w:p>
        </w:tc>
        <w:tc>
          <w:tcPr>
            <w:tcW w:w="5879" w:type="dxa"/>
            <w:gridSpan w:val="8"/>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公用经费</w:t>
            </w:r>
          </w:p>
        </w:tc>
      </w:tr>
      <w:tr>
        <w:tblPrEx>
          <w:tblCellMar>
            <w:top w:w="0" w:type="dxa"/>
            <w:left w:w="0" w:type="dxa"/>
            <w:bottom w:w="0" w:type="dxa"/>
            <w:right w:w="0" w:type="dxa"/>
          </w:tblCellMar>
        </w:tblPrEx>
        <w:trPr>
          <w:trHeight w:val="424" w:hRule="atLeast"/>
        </w:trPr>
        <w:tc>
          <w:tcPr>
            <w:tcW w:w="52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87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62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7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70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2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2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979"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7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tblCellMar>
            <w:top w:w="0" w:type="dxa"/>
            <w:left w:w="0" w:type="dxa"/>
            <w:bottom w:w="0" w:type="dxa"/>
            <w:right w:w="0" w:type="dxa"/>
          </w:tblCellMar>
        </w:tblPrEx>
        <w:trPr>
          <w:trHeight w:val="388" w:hRule="atLeast"/>
        </w:trPr>
        <w:tc>
          <w:tcPr>
            <w:tcW w:w="52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7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2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0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2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79"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8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354.85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16.17</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30703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国内债务发行费用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30101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基本工资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89.59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办公费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1.84</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30704</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国外债务发行费用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30102</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津贴补贴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0.10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印刷费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1.00</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30103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奖金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111.83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30203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咨询费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31001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房屋建筑物购建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5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30106</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伙食补助费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30204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手续费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31002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办公设备购置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30107</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绩效工资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56.51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30205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0.87</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专用设备购置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1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30108</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机关事业单位基本养老保险缴费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46.71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30206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1.63</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31005</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基础设施建设</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30109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职业年金缴费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18.85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邮电费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1.00</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31006</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大型修缮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30110</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职工基本医疗保险缴费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7.38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30208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取暖费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31007</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信息网络及软件购置更新</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7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30111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公务员医疗补助缴费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30209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物业管理费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31008</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物资储备</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5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30112</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其他社会保障缴费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0.73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30211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差旅费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31009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土地补偿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30113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住房公积金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21.34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30212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因公出国（境）费用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安置补助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30114</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医疗费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30213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维修(护)费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31011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地上附着物和青苗补偿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30199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30214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租赁费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31012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拆迁补偿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94.71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30215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会议费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31013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公务用车购置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30301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离休费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30216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培训费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1.56</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31019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其他交通工具购置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30302</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退休费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91.94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30217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公务接待费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31021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文物和陈列品购置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5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30303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退职（役）费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30218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专用材料费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31022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无形资产购置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30304</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抚恤金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30224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被装购置费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31099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30305</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生活补助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2.76</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30225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专用燃料费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30306</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救济费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30226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劳务费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31201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资本金注入</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7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30307</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医疗费补助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30227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委托业务费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31203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政府投资基金股权投资</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30308</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助学金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30228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工会经费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2.08</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31204</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费用补贴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30309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奖励金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30229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福利费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2.54</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31205</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利息补贴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30310</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个人农业生产补贴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30231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公务用车运行维护费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31299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5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30311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代缴社会保险费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30239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其他交通费用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30399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30240</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税金及附加费用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39907</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国家赔偿费用支出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12"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30299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3.66</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39908</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对民间非营利组织和群众性自治组织补贴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债务利息及费用支出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39909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经常性赠与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30701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国内债务付息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39910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资本性赠与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30702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国外债务付息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39999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52" w:hRule="atLeast"/>
        </w:trPr>
        <w:tc>
          <w:tcPr>
            <w:tcW w:w="2397"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人员经费合计</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449.56</w:t>
            </w:r>
          </w:p>
        </w:tc>
        <w:tc>
          <w:tcPr>
            <w:tcW w:w="5306" w:type="dxa"/>
            <w:gridSpan w:val="7"/>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公用经费合计</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16.17</w:t>
            </w:r>
          </w:p>
        </w:tc>
      </w:tr>
      <w:tr>
        <w:tblPrEx>
          <w:tblCellMar>
            <w:top w:w="0" w:type="dxa"/>
            <w:left w:w="0" w:type="dxa"/>
            <w:bottom w:w="0" w:type="dxa"/>
            <w:right w:w="0" w:type="dxa"/>
          </w:tblCellMar>
        </w:tblPrEx>
        <w:trPr>
          <w:trHeight w:val="499" w:hRule="atLeast"/>
        </w:trPr>
        <w:tc>
          <w:tcPr>
            <w:tcW w:w="8898"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注：本表反映单位本年度一般公共预算财政拨款基本支出明细情况。</w:t>
            </w:r>
          </w:p>
        </w:tc>
      </w:tr>
    </w:tbl>
    <w:p>
      <w:pPr>
        <w:rPr>
          <w:rFonts w:hint="eastAsia" w:ascii="黑体" w:hAnsi="黑体" w:eastAsia="黑体"/>
          <w:color w:val="auto"/>
          <w:szCs w:val="32"/>
        </w:rPr>
      </w:pPr>
    </w:p>
    <w:p>
      <w:pPr>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pPr>
        <w:jc w:val="right"/>
        <w:rPr>
          <w:rFonts w:hint="eastAsia" w:ascii="黑体" w:hAnsi="黑体" w:eastAsia="黑体"/>
          <w:color w:val="auto"/>
          <w:sz w:val="20"/>
        </w:rPr>
      </w:pPr>
      <w:r>
        <w:rPr>
          <w:rFonts w:hint="eastAsia" w:ascii="宋体" w:hAnsi="宋体" w:eastAsia="宋体" w:cs="宋体"/>
          <w:color w:val="auto"/>
          <w:kern w:val="0"/>
          <w:sz w:val="20"/>
        </w:rPr>
        <w:t>公开07表</w:t>
      </w:r>
    </w:p>
    <w:tbl>
      <w:tblPr>
        <w:tblStyle w:val="5"/>
        <w:tblW w:w="0" w:type="auto"/>
        <w:tblInd w:w="93" w:type="dxa"/>
        <w:tblLayout w:type="fixed"/>
        <w:tblCellMar>
          <w:top w:w="0" w:type="dxa"/>
          <w:left w:w="108" w:type="dxa"/>
          <w:bottom w:w="0" w:type="dxa"/>
          <w:right w:w="108" w:type="dxa"/>
        </w:tblCellMar>
      </w:tblPr>
      <w:tblGrid>
        <w:gridCol w:w="371"/>
        <w:gridCol w:w="360"/>
        <w:gridCol w:w="404"/>
        <w:gridCol w:w="774"/>
        <w:gridCol w:w="491"/>
        <w:gridCol w:w="132"/>
        <w:gridCol w:w="338"/>
        <w:gridCol w:w="163"/>
        <w:gridCol w:w="477"/>
        <w:gridCol w:w="480"/>
        <w:gridCol w:w="70"/>
        <w:gridCol w:w="360"/>
        <w:gridCol w:w="117"/>
        <w:gridCol w:w="591"/>
        <w:gridCol w:w="236"/>
        <w:gridCol w:w="250"/>
        <w:gridCol w:w="180"/>
        <w:gridCol w:w="366"/>
        <w:gridCol w:w="477"/>
        <w:gridCol w:w="286"/>
        <w:gridCol w:w="208"/>
        <w:gridCol w:w="32"/>
        <w:gridCol w:w="456"/>
        <w:gridCol w:w="600"/>
        <w:gridCol w:w="641"/>
      </w:tblGrid>
      <w:tr>
        <w:tblPrEx>
          <w:tblCellMar>
            <w:top w:w="0" w:type="dxa"/>
            <w:left w:w="108" w:type="dxa"/>
            <w:bottom w:w="0" w:type="dxa"/>
            <w:right w:w="108" w:type="dxa"/>
          </w:tblCellMar>
        </w:tblPrEx>
        <w:trPr>
          <w:trHeight w:val="451" w:hRule="atLeast"/>
        </w:trPr>
        <w:tc>
          <w:tcPr>
            <w:tcW w:w="731" w:type="dxa"/>
            <w:gridSpan w:val="2"/>
            <w:tcBorders>
              <w:top w:val="nil"/>
              <w:left w:val="nil"/>
              <w:bottom w:val="nil"/>
              <w:right w:val="nil"/>
            </w:tcBorders>
            <w:noWrap w:val="0"/>
            <w:vAlign w:val="bottom"/>
          </w:tcPr>
          <w:p>
            <w:pPr>
              <w:widowControl/>
              <w:jc w:val="left"/>
              <w:rPr>
                <w:rFonts w:ascii="宋体" w:hAnsi="宋体" w:eastAsia="宋体" w:cs="Arial"/>
                <w:color w:val="auto"/>
                <w:kern w:val="0"/>
                <w:sz w:val="20"/>
              </w:rPr>
            </w:pPr>
            <w:r>
              <w:rPr>
                <w:rFonts w:hint="eastAsia" w:ascii="宋体" w:hAnsi="宋体" w:eastAsia="宋体" w:cs="Arial"/>
                <w:color w:val="auto"/>
                <w:kern w:val="0"/>
                <w:sz w:val="20"/>
                <w:szCs w:val="20"/>
                <w:lang w:eastAsia="zh-CN"/>
              </w:rPr>
              <w:t>单位：</w:t>
            </w:r>
          </w:p>
        </w:tc>
        <w:tc>
          <w:tcPr>
            <w:tcW w:w="404"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774"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91"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7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6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80"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708"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36"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843"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86"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1697" w:type="dxa"/>
            <w:gridSpan w:val="3"/>
            <w:tcBorders>
              <w:top w:val="nil"/>
              <w:left w:val="nil"/>
              <w:bottom w:val="nil"/>
              <w:right w:val="nil"/>
            </w:tcBorders>
            <w:noWrap w:val="0"/>
            <w:vAlign w:val="bottom"/>
          </w:tcPr>
          <w:p>
            <w:pPr>
              <w:widowControl/>
              <w:jc w:val="both"/>
              <w:rPr>
                <w:rFonts w:ascii="宋体" w:hAnsi="宋体" w:eastAsia="宋体" w:cs="Arial"/>
                <w:color w:val="auto"/>
                <w:kern w:val="0"/>
                <w:sz w:val="20"/>
              </w:rPr>
            </w:pPr>
            <w:r>
              <w:rPr>
                <w:rFonts w:hint="eastAsia" w:ascii="宋体" w:hAnsi="宋体" w:eastAsia="宋体" w:cs="Arial"/>
                <w:color w:val="auto"/>
                <w:kern w:val="0"/>
                <w:sz w:val="20"/>
                <w:lang w:eastAsia="zh-CN"/>
              </w:rPr>
              <w:t>金额</w:t>
            </w:r>
            <w:r>
              <w:rPr>
                <w:rFonts w:hint="eastAsia" w:ascii="宋体" w:hAnsi="宋体" w:eastAsia="宋体" w:cs="Arial"/>
                <w:color w:val="auto"/>
                <w:kern w:val="0"/>
                <w:sz w:val="20"/>
              </w:rPr>
              <w:t>单位：万元</w:t>
            </w:r>
          </w:p>
        </w:tc>
      </w:tr>
      <w:tr>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774"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1601"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年初结转和结余</w:t>
            </w:r>
          </w:p>
        </w:tc>
        <w:tc>
          <w:tcPr>
            <w:tcW w:w="1618"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年末结转和结余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01"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c>
          <w:tcPr>
            <w:tcW w:w="550"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77"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59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4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88"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1241"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r>
      <w:tr>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0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w:t>
            </w:r>
          </w:p>
        </w:tc>
        <w:tc>
          <w:tcPr>
            <w:tcW w:w="64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4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30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栏次</w:t>
            </w:r>
          </w:p>
        </w:tc>
        <w:tc>
          <w:tcPr>
            <w:tcW w:w="623"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w:t>
            </w:r>
          </w:p>
        </w:tc>
        <w:tc>
          <w:tcPr>
            <w:tcW w:w="501"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2</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3</w:t>
            </w:r>
          </w:p>
        </w:tc>
        <w:tc>
          <w:tcPr>
            <w:tcW w:w="55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4</w:t>
            </w:r>
          </w:p>
        </w:tc>
        <w:tc>
          <w:tcPr>
            <w:tcW w:w="477"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5</w:t>
            </w:r>
          </w:p>
        </w:tc>
        <w:tc>
          <w:tcPr>
            <w:tcW w:w="59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6</w:t>
            </w:r>
          </w:p>
        </w:tc>
        <w:tc>
          <w:tcPr>
            <w:tcW w:w="48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7</w:t>
            </w:r>
          </w:p>
        </w:tc>
        <w:tc>
          <w:tcPr>
            <w:tcW w:w="54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8</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9</w:t>
            </w:r>
          </w:p>
        </w:tc>
        <w:tc>
          <w:tcPr>
            <w:tcW w:w="49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10</w:t>
            </w:r>
          </w:p>
        </w:tc>
        <w:tc>
          <w:tcPr>
            <w:tcW w:w="488"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11</w:t>
            </w:r>
          </w:p>
        </w:tc>
        <w:tc>
          <w:tcPr>
            <w:tcW w:w="60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12</w:t>
            </w:r>
          </w:p>
        </w:tc>
        <w:tc>
          <w:tcPr>
            <w:tcW w:w="64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13</w:t>
            </w:r>
          </w:p>
        </w:tc>
      </w:tr>
      <w:tr>
        <w:tblPrEx>
          <w:tblCellMar>
            <w:top w:w="0" w:type="dxa"/>
            <w:left w:w="108" w:type="dxa"/>
            <w:bottom w:w="0" w:type="dxa"/>
            <w:right w:w="108" w:type="dxa"/>
          </w:tblCellMar>
        </w:tblPrEx>
        <w:trPr>
          <w:trHeight w:val="500"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404"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合计</w:t>
            </w:r>
          </w:p>
        </w:tc>
        <w:tc>
          <w:tcPr>
            <w:tcW w:w="623"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01"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50"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9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8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4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94"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88"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600"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64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550" w:hRule="atLeast"/>
        </w:trPr>
        <w:tc>
          <w:tcPr>
            <w:tcW w:w="1135" w:type="dxa"/>
            <w:gridSpan w:val="3"/>
            <w:tcBorders>
              <w:top w:val="nil"/>
              <w:left w:val="single" w:color="000000" w:sz="4" w:space="0"/>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tblPrEx>
          <w:tblCellMar>
            <w:top w:w="0" w:type="dxa"/>
            <w:left w:w="108" w:type="dxa"/>
            <w:bottom w:w="0" w:type="dxa"/>
            <w:right w:w="108" w:type="dxa"/>
          </w:tblCellMar>
        </w:tblPrEx>
        <w:trPr>
          <w:trHeight w:val="559"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tblPrEx>
          <w:tblCellMar>
            <w:top w:w="0" w:type="dxa"/>
            <w:left w:w="108" w:type="dxa"/>
            <w:bottom w:w="0" w:type="dxa"/>
            <w:right w:w="108" w:type="dxa"/>
          </w:tblCellMar>
        </w:tblPrEx>
        <w:trPr>
          <w:trHeight w:val="1059" w:hRule="atLeast"/>
        </w:trPr>
        <w:tc>
          <w:tcPr>
            <w:tcW w:w="8860" w:type="dxa"/>
            <w:gridSpan w:val="25"/>
            <w:tcBorders>
              <w:top w:val="single" w:color="auto" w:sz="4" w:space="0"/>
              <w:left w:val="nil"/>
              <w:bottom w:val="nil"/>
              <w:right w:val="nil"/>
            </w:tcBorders>
            <w:noWrap w:val="0"/>
            <w:vAlign w:val="center"/>
          </w:tcPr>
          <w:p>
            <w:pPr>
              <w:widowControl/>
              <w:tabs>
                <w:tab w:val="left" w:pos="885"/>
              </w:tabs>
              <w:jc w:val="left"/>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注：本表反映单位本年度政府性基金预算财政拨款收入、支出及结转和结余情况。</w:t>
            </w:r>
          </w:p>
          <w:p>
            <w:pPr>
              <w:widowControl/>
              <w:tabs>
                <w:tab w:val="left" w:pos="885"/>
              </w:tabs>
              <w:jc w:val="left"/>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说明：黄山市新潭小学没有政府性基金预算收入，也没有使用政府性基金预算安排的支出，故本表无数据。</w:t>
            </w:r>
          </w:p>
        </w:tc>
      </w:tr>
    </w:tbl>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5"/>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tblPrEx>
          <w:tblCellMar>
            <w:top w:w="15" w:type="dxa"/>
            <w:left w:w="108" w:type="dxa"/>
            <w:bottom w:w="15" w:type="dxa"/>
            <w:right w:w="108" w:type="dxa"/>
          </w:tblCellMar>
        </w:tblPrEx>
        <w:trPr>
          <w:trHeight w:val="474" w:hRule="atLeast"/>
        </w:trPr>
        <w:tc>
          <w:tcPr>
            <w:tcW w:w="8779" w:type="dxa"/>
            <w:gridSpan w:val="7"/>
            <w:noWrap w:val="0"/>
            <w:vAlign w:val="bottom"/>
          </w:tcPr>
          <w:p>
            <w:pPr>
              <w:widowControl/>
              <w:jc w:val="righ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公开08表</w:t>
            </w:r>
          </w:p>
        </w:tc>
      </w:tr>
      <w:tr>
        <w:tblPrEx>
          <w:tblCellMar>
            <w:top w:w="15" w:type="dxa"/>
            <w:left w:w="108" w:type="dxa"/>
            <w:bottom w:w="15" w:type="dxa"/>
            <w:right w:w="108" w:type="dxa"/>
          </w:tblCellMar>
        </w:tblPrEx>
        <w:trPr>
          <w:trHeight w:val="566" w:hRule="atLeast"/>
        </w:trPr>
        <w:tc>
          <w:tcPr>
            <w:tcW w:w="8779" w:type="dxa"/>
            <w:gridSpan w:val="7"/>
            <w:tcBorders>
              <w:bottom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lang w:eastAsia="zh-CN"/>
              </w:rPr>
              <w:t>单位</w:t>
            </w:r>
            <w:r>
              <w:rPr>
                <w:rFonts w:hint="eastAsia" w:ascii="宋体" w:hAnsi="宋体" w:eastAsia="宋体" w:cs="Arial"/>
                <w:color w:val="auto"/>
                <w:kern w:val="0"/>
                <w:sz w:val="22"/>
                <w:szCs w:val="22"/>
              </w:rPr>
              <w:t>：金额单位：万元</w:t>
            </w:r>
          </w:p>
        </w:tc>
      </w:tr>
      <w:tr>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r>
      <w:tr>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r>
      <w:tr>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3</w:t>
            </w:r>
          </w:p>
        </w:tc>
      </w:tr>
      <w:tr>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993" w:hRule="atLeast"/>
        </w:trPr>
        <w:tc>
          <w:tcPr>
            <w:tcW w:w="8779" w:type="dxa"/>
            <w:gridSpan w:val="7"/>
            <w:tcBorders>
              <w:top w:val="single" w:color="auto" w:sz="4" w:space="0"/>
              <w:left w:val="nil"/>
              <w:bottom w:val="nil"/>
              <w:right w:val="nil"/>
            </w:tcBorders>
            <w:noWrap w:val="0"/>
            <w:vAlign w:val="center"/>
          </w:tcPr>
          <w:p>
            <w:pPr>
              <w:widowControl/>
              <w:jc w:val="lef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注：本表反映</w:t>
            </w:r>
            <w:r>
              <w:rPr>
                <w:rFonts w:hint="eastAsia" w:ascii="宋体" w:hAnsi="宋体" w:eastAsia="宋体" w:cs="Arial"/>
                <w:color w:val="auto"/>
                <w:kern w:val="0"/>
                <w:sz w:val="22"/>
                <w:szCs w:val="22"/>
                <w:lang w:eastAsia="zh-CN"/>
              </w:rPr>
              <w:t>单位</w:t>
            </w:r>
            <w:r>
              <w:rPr>
                <w:rFonts w:hint="eastAsia" w:ascii="宋体" w:hAnsi="宋体" w:eastAsia="宋体" w:cs="Arial"/>
                <w:color w:val="auto"/>
                <w:kern w:val="0"/>
                <w:sz w:val="22"/>
                <w:szCs w:val="22"/>
              </w:rPr>
              <w:t>本年度国有资本经营预算财政拨款支出情况。</w:t>
            </w:r>
          </w:p>
          <w:p>
            <w:pPr>
              <w:widowControl/>
              <w:jc w:val="lef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说明：黄山市新潭小学没有国有资本经营预算财政拨款安排的支出，故本表无数据。</w:t>
            </w:r>
          </w:p>
        </w:tc>
      </w:tr>
    </w:tbl>
    <w:p>
      <w:pPr>
        <w:rPr>
          <w:rFonts w:hint="eastAsia" w:ascii="黑体" w:hAnsi="黑体" w:eastAsia="黑体"/>
          <w:color w:val="auto"/>
          <w:sz w:val="20"/>
        </w:rPr>
      </w:pPr>
    </w:p>
    <w:p>
      <w:pPr>
        <w:rPr>
          <w:rFonts w:hint="eastAsia" w:ascii="黑体" w:hAnsi="黑体" w:eastAsia="黑体"/>
          <w:color w:val="auto"/>
          <w:sz w:val="20"/>
        </w:rPr>
      </w:pPr>
    </w:p>
    <w:p>
      <w:pPr>
        <w:ind w:firstLine="640" w:firstLineChars="200"/>
        <w:rPr>
          <w:rFonts w:hint="eastAsia" w:ascii="黑体" w:hAnsi="黑体" w:eastAsia="黑体"/>
          <w:color w:val="auto"/>
          <w:szCs w:val="32"/>
        </w:rPr>
      </w:pPr>
      <w:r>
        <w:rPr>
          <w:rFonts w:hint="eastAsia" w:ascii="黑体" w:hAnsi="黑体" w:eastAsia="黑体"/>
          <w:color w:val="auto"/>
          <w:szCs w:val="32"/>
        </w:rPr>
        <w:t>第三</w:t>
      </w:r>
      <w:r>
        <w:rPr>
          <w:rFonts w:hint="eastAsia" w:ascii="黑体" w:hAnsi="黑体" w:eastAsia="黑体"/>
          <w:color w:val="auto"/>
          <w:szCs w:val="32"/>
          <w:lang w:eastAsia="zh-CN"/>
        </w:rPr>
        <w:t>部分黄山市新潭小学202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情况说明</w:t>
      </w:r>
    </w:p>
    <w:p>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w:t>
      </w:r>
      <w:r>
        <w:rPr>
          <w:rFonts w:hint="eastAsia" w:ascii="仿宋_GB2312" w:hAnsi="仿宋"/>
          <w:color w:val="auto"/>
          <w:szCs w:val="32"/>
          <w:lang w:val="en-US" w:eastAsia="zh-CN"/>
        </w:rPr>
        <w:t>792.85</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792.85</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年相比，收、支总计各减少</w:t>
      </w:r>
      <w:r>
        <w:rPr>
          <w:rFonts w:hint="eastAsia" w:ascii="仿宋_GB2312" w:hAnsi="仿宋"/>
          <w:color w:val="auto"/>
          <w:szCs w:val="32"/>
          <w:lang w:val="en-US" w:eastAsia="zh-CN"/>
        </w:rPr>
        <w:t>4.68</w:t>
      </w:r>
      <w:r>
        <w:rPr>
          <w:rFonts w:hint="eastAsia" w:ascii="仿宋_GB2312" w:hAnsi="仿宋"/>
          <w:color w:val="auto"/>
          <w:szCs w:val="32"/>
        </w:rPr>
        <w:t>万元，下降</w:t>
      </w:r>
      <w:r>
        <w:rPr>
          <w:rFonts w:hint="eastAsia" w:ascii="仿宋_GB2312" w:hAnsi="仿宋"/>
          <w:color w:val="auto"/>
          <w:szCs w:val="32"/>
          <w:lang w:val="en-US" w:eastAsia="zh-CN"/>
        </w:rPr>
        <w:t>0.59</w:t>
      </w:r>
      <w:r>
        <w:rPr>
          <w:rFonts w:hint="eastAsia" w:ascii="仿宋_GB2312" w:hAnsi="仿宋"/>
          <w:color w:val="auto"/>
          <w:szCs w:val="32"/>
        </w:rPr>
        <w:t>%，主要原因：</w:t>
      </w:r>
      <w:r>
        <w:rPr>
          <w:rFonts w:hint="eastAsia" w:ascii="仿宋_GB2312" w:hAnsi="仿宋"/>
          <w:szCs w:val="32"/>
        </w:rPr>
        <w:t>项目经费减少</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w:t>
      </w:r>
      <w:r>
        <w:rPr>
          <w:rFonts w:hint="eastAsia" w:ascii="仿宋_GB2312" w:hAnsi="仿宋"/>
          <w:color w:val="auto"/>
          <w:szCs w:val="32"/>
          <w:lang w:val="en-US" w:eastAsia="zh-CN"/>
        </w:rPr>
        <w:t>753.7</w:t>
      </w:r>
      <w:r>
        <w:rPr>
          <w:rFonts w:hint="eastAsia" w:ascii="仿宋_GB2312" w:hAnsi="仿宋"/>
          <w:color w:val="auto"/>
          <w:szCs w:val="32"/>
        </w:rPr>
        <w:t>万元，其中：财政拨款收入</w:t>
      </w:r>
      <w:r>
        <w:rPr>
          <w:rFonts w:hint="eastAsia" w:ascii="仿宋_GB2312" w:hAnsi="仿宋"/>
          <w:color w:val="auto"/>
          <w:szCs w:val="32"/>
          <w:lang w:val="en-US" w:eastAsia="zh-CN"/>
        </w:rPr>
        <w:t>497.99</w:t>
      </w:r>
      <w:r>
        <w:rPr>
          <w:rFonts w:hint="eastAsia" w:ascii="仿宋_GB2312" w:hAnsi="仿宋"/>
          <w:color w:val="auto"/>
          <w:szCs w:val="32"/>
        </w:rPr>
        <w:t>万元，占</w:t>
      </w:r>
      <w:r>
        <w:rPr>
          <w:rFonts w:hint="eastAsia" w:ascii="仿宋_GB2312" w:hAnsi="仿宋"/>
          <w:color w:val="auto"/>
          <w:szCs w:val="32"/>
          <w:lang w:val="en-US" w:eastAsia="zh-CN"/>
        </w:rPr>
        <w:t>66.07</w:t>
      </w:r>
      <w:r>
        <w:rPr>
          <w:rFonts w:hint="eastAsia" w:ascii="仿宋_GB2312" w:hAnsi="仿宋"/>
          <w:color w:val="auto"/>
          <w:szCs w:val="32"/>
        </w:rPr>
        <w:t>%；事业收入</w:t>
      </w:r>
      <w:r>
        <w:rPr>
          <w:rFonts w:hint="eastAsia" w:ascii="仿宋_GB2312" w:hAnsi="仿宋"/>
          <w:color w:val="auto"/>
          <w:szCs w:val="32"/>
          <w:lang w:val="en-US" w:eastAsia="zh-CN"/>
        </w:rPr>
        <w:t>80.83</w:t>
      </w:r>
      <w:r>
        <w:rPr>
          <w:rFonts w:hint="eastAsia" w:ascii="仿宋_GB2312" w:hAnsi="仿宋"/>
          <w:color w:val="auto"/>
          <w:szCs w:val="32"/>
        </w:rPr>
        <w:t>万元，占</w:t>
      </w:r>
      <w:r>
        <w:rPr>
          <w:rFonts w:hint="eastAsia" w:ascii="仿宋_GB2312" w:hAnsi="仿宋"/>
          <w:color w:val="auto"/>
          <w:szCs w:val="32"/>
          <w:lang w:val="en-US" w:eastAsia="zh-CN"/>
        </w:rPr>
        <w:t>10.73</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%；其他收入</w:t>
      </w:r>
      <w:r>
        <w:rPr>
          <w:rFonts w:hint="eastAsia" w:ascii="仿宋_GB2312" w:hAnsi="仿宋"/>
          <w:color w:val="auto"/>
          <w:szCs w:val="32"/>
          <w:lang w:val="en-US" w:eastAsia="zh-CN"/>
        </w:rPr>
        <w:t>174.88</w:t>
      </w:r>
      <w:r>
        <w:rPr>
          <w:rFonts w:hint="eastAsia" w:ascii="仿宋_GB2312" w:hAnsi="仿宋"/>
          <w:color w:val="auto"/>
          <w:szCs w:val="32"/>
        </w:rPr>
        <w:t>万元，占</w:t>
      </w:r>
      <w:r>
        <w:rPr>
          <w:rFonts w:hint="eastAsia" w:ascii="仿宋_GB2312" w:hAnsi="仿宋"/>
          <w:color w:val="auto"/>
          <w:szCs w:val="32"/>
          <w:lang w:val="en-US" w:eastAsia="zh-CN"/>
        </w:rPr>
        <w:t>23.2</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w:t>
      </w:r>
      <w:r>
        <w:rPr>
          <w:rFonts w:hint="eastAsia" w:ascii="仿宋_GB2312" w:hAnsi="仿宋"/>
          <w:color w:val="auto"/>
          <w:szCs w:val="32"/>
          <w:lang w:val="en-US" w:eastAsia="zh-CN"/>
        </w:rPr>
        <w:t>724.81</w:t>
      </w:r>
      <w:r>
        <w:rPr>
          <w:rFonts w:hint="eastAsia" w:ascii="仿宋_GB2312" w:hAnsi="仿宋"/>
          <w:color w:val="auto"/>
          <w:szCs w:val="32"/>
        </w:rPr>
        <w:t>万元，其中：基本支出</w:t>
      </w:r>
      <w:r>
        <w:rPr>
          <w:rFonts w:hint="eastAsia" w:ascii="仿宋_GB2312" w:hAnsi="仿宋"/>
          <w:color w:val="auto"/>
          <w:szCs w:val="32"/>
          <w:lang w:val="en-US" w:eastAsia="zh-CN"/>
        </w:rPr>
        <w:t>609.44</w:t>
      </w:r>
      <w:r>
        <w:rPr>
          <w:rFonts w:hint="eastAsia" w:ascii="仿宋_GB2312" w:hAnsi="仿宋"/>
          <w:color w:val="auto"/>
          <w:szCs w:val="32"/>
        </w:rPr>
        <w:t>万元，占</w:t>
      </w:r>
      <w:r>
        <w:rPr>
          <w:rFonts w:hint="eastAsia" w:ascii="仿宋_GB2312" w:hAnsi="仿宋"/>
          <w:color w:val="auto"/>
          <w:szCs w:val="32"/>
          <w:lang w:val="en-US" w:eastAsia="zh-CN"/>
        </w:rPr>
        <w:t>84.08</w:t>
      </w:r>
      <w:r>
        <w:rPr>
          <w:rFonts w:hint="eastAsia" w:ascii="仿宋_GB2312" w:hAnsi="仿宋"/>
          <w:color w:val="auto"/>
          <w:szCs w:val="32"/>
        </w:rPr>
        <w:t>%；项目支出</w:t>
      </w:r>
      <w:r>
        <w:rPr>
          <w:rFonts w:hint="eastAsia" w:ascii="仿宋_GB2312" w:hAnsi="仿宋"/>
          <w:color w:val="auto"/>
          <w:szCs w:val="32"/>
          <w:lang w:val="en-US" w:eastAsia="zh-CN"/>
        </w:rPr>
        <w:t>115.37</w:t>
      </w:r>
      <w:r>
        <w:rPr>
          <w:rFonts w:hint="eastAsia" w:ascii="仿宋_GB2312" w:hAnsi="仿宋"/>
          <w:color w:val="auto"/>
          <w:szCs w:val="32"/>
        </w:rPr>
        <w:t>万元，占</w:t>
      </w:r>
      <w:r>
        <w:rPr>
          <w:rFonts w:hint="eastAsia" w:ascii="仿宋_GB2312" w:hAnsi="仿宋"/>
          <w:color w:val="auto"/>
          <w:szCs w:val="32"/>
          <w:lang w:val="en-US" w:eastAsia="zh-CN"/>
        </w:rPr>
        <w:t>15.92</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w:t>
      </w:r>
    </w:p>
    <w:p>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40" w:firstLineChars="200"/>
        <w:rPr>
          <w:rFonts w:hint="default" w:ascii="仿宋_GB2312" w:hAnsi="仿宋" w:eastAsia="仿宋_GB2312"/>
          <w:color w:val="auto"/>
          <w:szCs w:val="32"/>
          <w:lang w:val="en-US" w:eastAsia="zh-CN"/>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497.99</w:t>
      </w:r>
      <w:r>
        <w:rPr>
          <w:rFonts w:hint="eastAsia" w:ascii="仿宋_GB2312" w:hAnsi="仿宋"/>
          <w:color w:val="auto"/>
          <w:szCs w:val="32"/>
        </w:rPr>
        <w:t>万元（含年初财政拨款结转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497.99</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年相比，财政拨款收、支总计各增加</w:t>
      </w:r>
      <w:r>
        <w:rPr>
          <w:rFonts w:hint="eastAsia" w:ascii="仿宋_GB2312" w:hAnsi="仿宋"/>
          <w:color w:val="auto"/>
          <w:szCs w:val="32"/>
          <w:lang w:val="en-US" w:eastAsia="zh-CN"/>
        </w:rPr>
        <w:t>11.9</w:t>
      </w:r>
      <w:r>
        <w:rPr>
          <w:rFonts w:hint="eastAsia" w:ascii="仿宋_GB2312" w:hAnsi="仿宋"/>
          <w:color w:val="auto"/>
          <w:szCs w:val="32"/>
        </w:rPr>
        <w:t>万元，增长</w:t>
      </w:r>
      <w:r>
        <w:rPr>
          <w:rFonts w:hint="eastAsia" w:ascii="仿宋_GB2312" w:hAnsi="仿宋"/>
          <w:color w:val="auto"/>
          <w:szCs w:val="32"/>
          <w:lang w:val="en-US" w:eastAsia="zh-CN"/>
        </w:rPr>
        <w:t>2.45</w:t>
      </w:r>
      <w:r>
        <w:rPr>
          <w:rFonts w:hint="eastAsia" w:ascii="仿宋_GB2312" w:hAnsi="仿宋"/>
          <w:color w:val="auto"/>
          <w:szCs w:val="32"/>
        </w:rPr>
        <w:t>%，主要原因：</w:t>
      </w:r>
      <w:r>
        <w:rPr>
          <w:rFonts w:hint="eastAsia" w:ascii="仿宋_GB2312" w:hAnsi="仿宋"/>
          <w:color w:val="auto"/>
          <w:szCs w:val="32"/>
          <w:lang w:val="en-US" w:eastAsia="zh-CN"/>
        </w:rPr>
        <w:t>增加人员。</w:t>
      </w:r>
    </w:p>
    <w:p>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497.99</w:t>
      </w:r>
      <w:r>
        <w:rPr>
          <w:rFonts w:hint="eastAsia" w:ascii="仿宋_GB2312" w:hAnsi="仿宋"/>
          <w:color w:val="auto"/>
          <w:szCs w:val="32"/>
        </w:rPr>
        <w:t>万元，占本年支出的</w:t>
      </w:r>
      <w:r>
        <w:rPr>
          <w:rFonts w:hint="eastAsia" w:ascii="仿宋_GB2312" w:hAnsi="仿宋"/>
          <w:color w:val="auto"/>
          <w:szCs w:val="32"/>
          <w:lang w:val="en-US" w:eastAsia="zh-CN"/>
        </w:rPr>
        <w:t>100</w:t>
      </w:r>
      <w:r>
        <w:rPr>
          <w:rFonts w:hint="eastAsia" w:ascii="仿宋_GB2312" w:hAnsi="仿宋"/>
          <w:color w:val="auto"/>
          <w:szCs w:val="32"/>
        </w:rPr>
        <w:t>%。与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年相比，一般公共预算财政拨款支出增加</w:t>
      </w:r>
      <w:r>
        <w:rPr>
          <w:rFonts w:hint="eastAsia" w:ascii="仿宋_GB2312" w:hAnsi="仿宋"/>
          <w:color w:val="auto"/>
          <w:szCs w:val="32"/>
          <w:lang w:val="en-US" w:eastAsia="zh-CN"/>
        </w:rPr>
        <w:t>11.9</w:t>
      </w:r>
      <w:r>
        <w:rPr>
          <w:rFonts w:hint="eastAsia" w:ascii="仿宋_GB2312" w:hAnsi="仿宋"/>
          <w:color w:val="auto"/>
          <w:szCs w:val="32"/>
        </w:rPr>
        <w:t>万元，增长</w:t>
      </w:r>
      <w:r>
        <w:rPr>
          <w:rFonts w:hint="eastAsia" w:ascii="仿宋_GB2312" w:hAnsi="仿宋"/>
          <w:color w:val="auto"/>
          <w:szCs w:val="32"/>
          <w:lang w:val="en-US" w:eastAsia="zh-CN"/>
        </w:rPr>
        <w:t>2.45</w:t>
      </w:r>
      <w:r>
        <w:rPr>
          <w:rFonts w:hint="eastAsia" w:ascii="仿宋_GB2312" w:hAnsi="仿宋"/>
          <w:color w:val="auto"/>
          <w:szCs w:val="32"/>
        </w:rPr>
        <w:t>%。主要原因</w:t>
      </w:r>
      <w:r>
        <w:rPr>
          <w:rFonts w:hint="eastAsia" w:ascii="仿宋_GB2312" w:hAnsi="仿宋"/>
          <w:color w:val="auto"/>
          <w:szCs w:val="32"/>
          <w:lang w:val="en-US" w:eastAsia="zh-CN"/>
        </w:rPr>
        <w:t>增加人员</w:t>
      </w:r>
      <w:r>
        <w:rPr>
          <w:rFonts w:hint="eastAsia" w:ascii="仿宋_GB2312" w:hAnsi="仿宋"/>
          <w:color w:val="auto"/>
          <w:szCs w:val="32"/>
        </w:rPr>
        <w:t>。</w:t>
      </w:r>
    </w:p>
    <w:p>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40" w:firstLineChars="200"/>
        <w:rPr>
          <w:rFonts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497.99</w:t>
      </w:r>
      <w:r>
        <w:rPr>
          <w:rFonts w:hint="eastAsia" w:ascii="仿宋_GB2312" w:hAnsi="仿宋"/>
          <w:color w:val="auto"/>
          <w:szCs w:val="32"/>
        </w:rPr>
        <w:t>万元，主要用于以下方面：</w:t>
      </w:r>
      <w:r>
        <w:rPr>
          <w:rFonts w:hint="eastAsia" w:ascii="仿宋_GB2312" w:hAnsi="仿宋"/>
          <w:b/>
          <w:color w:val="auto"/>
          <w:szCs w:val="32"/>
        </w:rPr>
        <w:t>一般公共服务（类）</w:t>
      </w:r>
      <w:r>
        <w:rPr>
          <w:rFonts w:hint="eastAsia" w:ascii="仿宋_GB2312" w:hAnsi="仿宋"/>
          <w:color w:val="auto"/>
          <w:szCs w:val="32"/>
        </w:rPr>
        <w:t>支出0.4万元，占</w:t>
      </w:r>
      <w:r>
        <w:rPr>
          <w:rFonts w:hint="eastAsia" w:ascii="仿宋_GB2312" w:hAnsi="仿宋"/>
          <w:color w:val="auto"/>
          <w:szCs w:val="32"/>
          <w:lang w:val="en-US" w:eastAsia="zh-CN"/>
        </w:rPr>
        <w:t>0.08</w:t>
      </w:r>
      <w:r>
        <w:rPr>
          <w:rFonts w:hint="eastAsia" w:ascii="仿宋_GB2312" w:hAnsi="仿宋"/>
          <w:color w:val="auto"/>
          <w:szCs w:val="32"/>
        </w:rPr>
        <w:t>%;</w:t>
      </w:r>
      <w:r>
        <w:rPr>
          <w:rFonts w:hint="eastAsia" w:ascii="仿宋_GB2312" w:hAnsi="仿宋"/>
          <w:b/>
          <w:color w:val="auto"/>
          <w:szCs w:val="32"/>
        </w:rPr>
        <w:t>教育（类）</w:t>
      </w:r>
      <w:r>
        <w:rPr>
          <w:rFonts w:hint="eastAsia" w:ascii="仿宋_GB2312" w:hAnsi="仿宋"/>
          <w:color w:val="auto"/>
          <w:szCs w:val="32"/>
        </w:rPr>
        <w:t>支出</w:t>
      </w:r>
      <w:r>
        <w:rPr>
          <w:rFonts w:hint="eastAsia" w:ascii="仿宋_GB2312" w:hAnsi="仿宋"/>
          <w:color w:val="auto"/>
          <w:szCs w:val="32"/>
          <w:lang w:val="en-US" w:eastAsia="zh-CN"/>
        </w:rPr>
        <w:t>322.78</w:t>
      </w:r>
      <w:r>
        <w:rPr>
          <w:rFonts w:hint="eastAsia" w:ascii="仿宋_GB2312" w:hAnsi="仿宋"/>
          <w:color w:val="auto"/>
          <w:szCs w:val="32"/>
        </w:rPr>
        <w:t>万元，占</w:t>
      </w:r>
      <w:r>
        <w:rPr>
          <w:rFonts w:hint="eastAsia" w:ascii="仿宋_GB2312" w:hAnsi="仿宋"/>
          <w:color w:val="auto"/>
          <w:szCs w:val="32"/>
          <w:lang w:val="en-US" w:eastAsia="zh-CN"/>
        </w:rPr>
        <w:t>64.81</w:t>
      </w:r>
      <w:r>
        <w:rPr>
          <w:rFonts w:hint="eastAsia" w:ascii="仿宋_GB2312" w:hAnsi="仿宋"/>
          <w:color w:val="auto"/>
          <w:szCs w:val="32"/>
        </w:rPr>
        <w:t>%；</w:t>
      </w:r>
      <w:r>
        <w:rPr>
          <w:rFonts w:hint="eastAsia" w:ascii="仿宋_GB2312" w:hAnsi="仿宋"/>
          <w:b/>
          <w:color w:val="auto"/>
          <w:szCs w:val="32"/>
        </w:rPr>
        <w:t>社会保障和就业（类）</w:t>
      </w:r>
      <w:r>
        <w:rPr>
          <w:rFonts w:hint="eastAsia" w:ascii="仿宋_GB2312" w:hAnsi="仿宋"/>
          <w:color w:val="auto"/>
          <w:szCs w:val="32"/>
        </w:rPr>
        <w:t>支出</w:t>
      </w:r>
      <w:r>
        <w:rPr>
          <w:rFonts w:hint="eastAsia" w:ascii="仿宋_GB2312" w:hAnsi="仿宋"/>
          <w:color w:val="auto"/>
          <w:szCs w:val="32"/>
          <w:lang w:val="en-US" w:eastAsia="zh-CN"/>
        </w:rPr>
        <w:t>144.27</w:t>
      </w:r>
      <w:r>
        <w:rPr>
          <w:rFonts w:hint="eastAsia" w:ascii="仿宋_GB2312" w:hAnsi="仿宋"/>
          <w:color w:val="auto"/>
          <w:szCs w:val="32"/>
        </w:rPr>
        <w:t>万元，占</w:t>
      </w:r>
      <w:r>
        <w:rPr>
          <w:rFonts w:hint="eastAsia" w:ascii="仿宋_GB2312" w:hAnsi="仿宋"/>
          <w:color w:val="auto"/>
          <w:szCs w:val="32"/>
          <w:lang w:val="en-US" w:eastAsia="zh-CN"/>
        </w:rPr>
        <w:t>28.97</w:t>
      </w:r>
      <w:r>
        <w:rPr>
          <w:rFonts w:hint="eastAsia" w:ascii="仿宋_GB2312" w:hAnsi="仿宋"/>
          <w:color w:val="auto"/>
          <w:szCs w:val="32"/>
        </w:rPr>
        <w:t>%；</w:t>
      </w:r>
      <w:r>
        <w:rPr>
          <w:rFonts w:hint="eastAsia" w:ascii="仿宋_GB2312" w:hAnsi="仿宋"/>
          <w:b/>
          <w:color w:val="auto"/>
          <w:szCs w:val="32"/>
        </w:rPr>
        <w:t>卫生健康（类）</w:t>
      </w:r>
      <w:r>
        <w:rPr>
          <w:rFonts w:hint="eastAsia" w:ascii="仿宋_GB2312" w:hAnsi="仿宋"/>
          <w:color w:val="auto"/>
          <w:szCs w:val="32"/>
        </w:rPr>
        <w:t>支出</w:t>
      </w:r>
      <w:r>
        <w:rPr>
          <w:rFonts w:hint="eastAsia" w:ascii="仿宋_GB2312" w:hAnsi="仿宋"/>
          <w:color w:val="auto"/>
          <w:szCs w:val="32"/>
          <w:lang w:val="en-US" w:eastAsia="zh-CN"/>
        </w:rPr>
        <w:t>9.19</w:t>
      </w:r>
      <w:r>
        <w:rPr>
          <w:rFonts w:hint="eastAsia" w:ascii="仿宋_GB2312" w:hAnsi="仿宋"/>
          <w:color w:val="auto"/>
          <w:szCs w:val="32"/>
        </w:rPr>
        <w:t>万元，占</w:t>
      </w:r>
      <w:r>
        <w:rPr>
          <w:rFonts w:hint="eastAsia" w:ascii="仿宋_GB2312" w:hAnsi="仿宋"/>
          <w:color w:val="auto"/>
          <w:szCs w:val="32"/>
          <w:lang w:val="en-US" w:eastAsia="zh-CN"/>
        </w:rPr>
        <w:t>1.85</w:t>
      </w:r>
      <w:r>
        <w:rPr>
          <w:rFonts w:hint="eastAsia" w:ascii="仿宋_GB2312" w:hAnsi="仿宋"/>
          <w:color w:val="auto"/>
          <w:szCs w:val="32"/>
        </w:rPr>
        <w:t>%</w:t>
      </w:r>
      <w:r>
        <w:rPr>
          <w:rFonts w:hint="eastAsia" w:ascii="仿宋_GB2312" w:hAnsi="仿宋"/>
          <w:color w:val="auto"/>
          <w:szCs w:val="32"/>
          <w:lang w:val="en-US" w:eastAsia="zh-CN"/>
        </w:rPr>
        <w:t>；</w:t>
      </w:r>
      <w:r>
        <w:rPr>
          <w:rFonts w:hint="eastAsia" w:ascii="仿宋_GB2312" w:hAnsi="仿宋"/>
          <w:b/>
          <w:color w:val="auto"/>
          <w:szCs w:val="32"/>
        </w:rPr>
        <w:t>住房保障（类）</w:t>
      </w:r>
      <w:r>
        <w:rPr>
          <w:rFonts w:hint="eastAsia" w:ascii="仿宋_GB2312" w:hAnsi="仿宋"/>
          <w:color w:val="auto"/>
          <w:szCs w:val="32"/>
        </w:rPr>
        <w:t>支出</w:t>
      </w:r>
      <w:r>
        <w:rPr>
          <w:rFonts w:hint="eastAsia" w:ascii="仿宋_GB2312" w:hAnsi="仿宋"/>
          <w:color w:val="auto"/>
          <w:szCs w:val="32"/>
          <w:lang w:val="en-US" w:eastAsia="zh-CN"/>
        </w:rPr>
        <w:t>21.34</w:t>
      </w:r>
      <w:r>
        <w:rPr>
          <w:rFonts w:hint="eastAsia" w:ascii="仿宋_GB2312" w:hAnsi="仿宋"/>
          <w:color w:val="auto"/>
          <w:szCs w:val="32"/>
        </w:rPr>
        <w:t>万元，占</w:t>
      </w:r>
      <w:r>
        <w:rPr>
          <w:rFonts w:hint="eastAsia" w:ascii="仿宋_GB2312" w:hAnsi="仿宋"/>
          <w:color w:val="auto"/>
          <w:szCs w:val="32"/>
          <w:lang w:val="en-US" w:eastAsia="zh-CN"/>
        </w:rPr>
        <w:t>4.29</w:t>
      </w:r>
      <w:r>
        <w:rPr>
          <w:rFonts w:hint="eastAsia" w:ascii="仿宋_GB2312" w:hAnsi="仿宋"/>
          <w:color w:val="auto"/>
          <w:szCs w:val="32"/>
        </w:rPr>
        <w:t>%。</w:t>
      </w:r>
    </w:p>
    <w:p>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360.48</w:t>
      </w:r>
      <w:r>
        <w:rPr>
          <w:rFonts w:hint="eastAsia" w:ascii="仿宋_GB2312" w:hAnsi="仿宋"/>
          <w:color w:val="auto"/>
          <w:szCs w:val="32"/>
        </w:rPr>
        <w:t>万元，支出决算为</w:t>
      </w:r>
      <w:r>
        <w:rPr>
          <w:rFonts w:hint="eastAsia" w:ascii="仿宋_GB2312" w:hAnsi="仿宋"/>
          <w:color w:val="auto"/>
          <w:szCs w:val="32"/>
          <w:lang w:val="en-US" w:eastAsia="zh-CN"/>
        </w:rPr>
        <w:t>497.99</w:t>
      </w:r>
      <w:r>
        <w:rPr>
          <w:rFonts w:hint="eastAsia" w:ascii="仿宋_GB2312" w:hAnsi="仿宋"/>
          <w:color w:val="auto"/>
          <w:szCs w:val="32"/>
        </w:rPr>
        <w:t>万元，完成年初预算的</w:t>
      </w:r>
      <w:r>
        <w:rPr>
          <w:rFonts w:hint="eastAsia" w:ascii="仿宋_GB2312" w:hAnsi="仿宋"/>
          <w:color w:val="auto"/>
          <w:szCs w:val="32"/>
          <w:lang w:val="en-US" w:eastAsia="zh-CN"/>
        </w:rPr>
        <w:t>138.15</w:t>
      </w:r>
      <w:r>
        <w:rPr>
          <w:rFonts w:hint="eastAsia" w:ascii="仿宋_GB2312" w:hAnsi="仿宋"/>
          <w:color w:val="auto"/>
          <w:szCs w:val="32"/>
        </w:rPr>
        <w:t>%。决算数大于（小于）预算数的主要原因:一是义保资金未编入预算；二是社保年检基数调整。其中:基本支出</w:t>
      </w:r>
      <w:r>
        <w:rPr>
          <w:rFonts w:hint="eastAsia" w:ascii="仿宋_GB2312" w:hAnsi="仿宋"/>
          <w:color w:val="auto"/>
          <w:szCs w:val="32"/>
          <w:lang w:val="en-US" w:eastAsia="zh-CN"/>
        </w:rPr>
        <w:t>465.73</w:t>
      </w:r>
      <w:r>
        <w:rPr>
          <w:rFonts w:hint="eastAsia" w:ascii="仿宋_GB2312" w:hAnsi="仿宋"/>
          <w:color w:val="auto"/>
          <w:szCs w:val="32"/>
        </w:rPr>
        <w:t>万元，占</w:t>
      </w:r>
      <w:r>
        <w:rPr>
          <w:rFonts w:hint="eastAsia" w:ascii="仿宋_GB2312" w:hAnsi="仿宋"/>
          <w:color w:val="auto"/>
          <w:szCs w:val="32"/>
          <w:lang w:val="en-US" w:eastAsia="zh-CN"/>
        </w:rPr>
        <w:t>93.52</w:t>
      </w:r>
      <w:r>
        <w:rPr>
          <w:rFonts w:hint="eastAsia" w:ascii="仿宋_GB2312" w:hAnsi="仿宋"/>
          <w:color w:val="auto"/>
          <w:szCs w:val="32"/>
        </w:rPr>
        <w:t>%；项目支出</w:t>
      </w:r>
      <w:r>
        <w:rPr>
          <w:rFonts w:hint="eastAsia" w:ascii="仿宋_GB2312" w:hAnsi="仿宋"/>
          <w:color w:val="auto"/>
          <w:szCs w:val="32"/>
          <w:lang w:val="en-US" w:eastAsia="zh-CN"/>
        </w:rPr>
        <w:t>32.26</w:t>
      </w:r>
      <w:r>
        <w:rPr>
          <w:rFonts w:hint="eastAsia" w:ascii="仿宋_GB2312" w:hAnsi="仿宋"/>
          <w:color w:val="auto"/>
          <w:szCs w:val="32"/>
        </w:rPr>
        <w:t>万元，占</w:t>
      </w:r>
      <w:r>
        <w:rPr>
          <w:rFonts w:hint="eastAsia" w:ascii="仿宋_GB2312" w:hAnsi="仿宋"/>
          <w:color w:val="auto"/>
          <w:szCs w:val="32"/>
          <w:lang w:val="en-US" w:eastAsia="zh-CN"/>
        </w:rPr>
        <w:t>6.48</w:t>
      </w:r>
      <w:r>
        <w:rPr>
          <w:rFonts w:hint="eastAsia" w:ascii="仿宋_GB2312" w:hAnsi="仿宋"/>
          <w:color w:val="auto"/>
          <w:szCs w:val="32"/>
        </w:rPr>
        <w:t>%。具体情况如下：</w:t>
      </w:r>
    </w:p>
    <w:p>
      <w:pPr>
        <w:numPr>
          <w:ilvl w:val="0"/>
          <w:numId w:val="1"/>
        </w:numPr>
        <w:ind w:firstLine="643" w:firstLineChars="200"/>
        <w:rPr>
          <w:rFonts w:hint="eastAsia" w:ascii="仿宋_GB2312" w:hAnsi="仿宋"/>
          <w:color w:val="auto"/>
          <w:szCs w:val="32"/>
        </w:rPr>
      </w:pPr>
      <w:r>
        <w:rPr>
          <w:rFonts w:hint="eastAsia" w:ascii="仿宋_GB2312" w:hAnsi="仿宋"/>
          <w:b/>
          <w:color w:val="auto"/>
          <w:szCs w:val="32"/>
        </w:rPr>
        <w:t>一般公共服务（类）其他共产党事务（款）其他共产党事务（项）</w:t>
      </w:r>
      <w:r>
        <w:rPr>
          <w:rFonts w:hint="eastAsia" w:ascii="仿宋_GB2312" w:hAnsi="仿宋"/>
          <w:color w:val="auto"/>
          <w:szCs w:val="32"/>
        </w:rPr>
        <w:t>。年初预算为0.4万元，支出决算为0.4万元，完成年初预算的100.0%。</w:t>
      </w:r>
    </w:p>
    <w:p>
      <w:pPr>
        <w:numPr>
          <w:ilvl w:val="0"/>
          <w:numId w:val="1"/>
        </w:numPr>
        <w:ind w:firstLine="643" w:firstLineChars="200"/>
        <w:rPr>
          <w:rFonts w:hint="eastAsia" w:ascii="仿宋_GB2312" w:hAnsi="仿宋"/>
          <w:color w:val="auto"/>
          <w:szCs w:val="32"/>
        </w:rPr>
      </w:pPr>
      <w:r>
        <w:rPr>
          <w:rFonts w:hint="eastAsia" w:ascii="仿宋_GB2312" w:hAnsi="仿宋"/>
          <w:b/>
          <w:color w:val="auto"/>
          <w:szCs w:val="32"/>
        </w:rPr>
        <w:t>教育（类）普通教育（款）小学教育（项）</w:t>
      </w:r>
      <w:r>
        <w:rPr>
          <w:rFonts w:hint="eastAsia" w:ascii="仿宋_GB2312" w:hAnsi="仿宋"/>
          <w:color w:val="auto"/>
          <w:szCs w:val="32"/>
        </w:rPr>
        <w:t>。年初预算为</w:t>
      </w:r>
      <w:r>
        <w:rPr>
          <w:rFonts w:hint="eastAsia" w:ascii="仿宋_GB2312" w:hAnsi="仿宋"/>
          <w:color w:val="auto"/>
          <w:szCs w:val="32"/>
          <w:lang w:val="en-US" w:eastAsia="zh-CN"/>
        </w:rPr>
        <w:t>204.26</w:t>
      </w:r>
      <w:r>
        <w:rPr>
          <w:rFonts w:hint="eastAsia" w:ascii="仿宋_GB2312" w:hAnsi="仿宋"/>
          <w:color w:val="auto"/>
          <w:szCs w:val="32"/>
        </w:rPr>
        <w:t>万元，支出决算为</w:t>
      </w:r>
      <w:r>
        <w:rPr>
          <w:rFonts w:hint="eastAsia" w:ascii="仿宋_GB2312" w:hAnsi="仿宋"/>
          <w:color w:val="auto"/>
          <w:szCs w:val="32"/>
          <w:lang w:val="en-US" w:eastAsia="zh-CN"/>
        </w:rPr>
        <w:t>320.69</w:t>
      </w:r>
      <w:r>
        <w:rPr>
          <w:rFonts w:hint="eastAsia" w:ascii="仿宋_GB2312" w:hAnsi="仿宋"/>
          <w:color w:val="auto"/>
          <w:szCs w:val="32"/>
        </w:rPr>
        <w:t>万元，完成年初预算的</w:t>
      </w:r>
      <w:r>
        <w:rPr>
          <w:rFonts w:hint="eastAsia" w:ascii="仿宋_GB2312" w:hAnsi="仿宋"/>
          <w:color w:val="auto"/>
          <w:szCs w:val="32"/>
          <w:lang w:val="en-US" w:eastAsia="zh-CN"/>
        </w:rPr>
        <w:t>157</w:t>
      </w:r>
      <w:r>
        <w:rPr>
          <w:rFonts w:hint="eastAsia" w:ascii="仿宋_GB2312" w:hAnsi="仿宋"/>
          <w:color w:val="auto"/>
          <w:szCs w:val="32"/>
        </w:rPr>
        <w:t>%，决算数大于预算数的主要原因是义保资金未编入预算。</w:t>
      </w:r>
    </w:p>
    <w:p>
      <w:pPr>
        <w:numPr>
          <w:ilvl w:val="0"/>
          <w:numId w:val="1"/>
        </w:numPr>
        <w:ind w:firstLine="643" w:firstLineChars="200"/>
        <w:rPr>
          <w:rFonts w:hint="eastAsia" w:ascii="仿宋_GB2312" w:hAnsi="仿宋"/>
          <w:color w:val="auto"/>
          <w:szCs w:val="32"/>
        </w:rPr>
      </w:pPr>
      <w:r>
        <w:rPr>
          <w:rFonts w:hint="eastAsia" w:ascii="仿宋_GB2312" w:hAnsi="仿宋"/>
          <w:b/>
          <w:color w:val="auto"/>
          <w:szCs w:val="32"/>
        </w:rPr>
        <w:t>教育（类）普通教育（款）其他普通教育（项）。</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w:t>
      </w:r>
      <w:r>
        <w:rPr>
          <w:rFonts w:hint="eastAsia" w:ascii="仿宋_GB2312" w:hAnsi="仿宋"/>
          <w:color w:val="auto"/>
          <w:szCs w:val="32"/>
          <w:lang w:val="en-US" w:eastAsia="zh-CN"/>
        </w:rPr>
        <w:t>2.09</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%，决算数大于预算数的主要原因是义保资金未编入预算。</w:t>
      </w:r>
    </w:p>
    <w:p>
      <w:pPr>
        <w:numPr>
          <w:ilvl w:val="0"/>
          <w:numId w:val="1"/>
        </w:numPr>
        <w:ind w:firstLine="643" w:firstLineChars="200"/>
        <w:rPr>
          <w:rFonts w:hint="eastAsia" w:ascii="仿宋_GB2312" w:hAnsi="仿宋"/>
          <w:color w:val="auto"/>
          <w:szCs w:val="32"/>
        </w:rPr>
      </w:pPr>
      <w:r>
        <w:rPr>
          <w:rFonts w:hint="eastAsia" w:ascii="仿宋_GB2312" w:hAnsi="仿宋"/>
          <w:b/>
          <w:color w:val="auto"/>
          <w:szCs w:val="32"/>
        </w:rPr>
        <w:t>教育（类）教育费附加安排的（款）其他教育费附加安排的（项）。</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w:t>
      </w:r>
      <w:r>
        <w:rPr>
          <w:rFonts w:hint="eastAsia" w:ascii="仿宋_GB2312" w:hAnsi="仿宋"/>
          <w:color w:val="auto"/>
          <w:szCs w:val="32"/>
          <w:lang w:val="en-US" w:eastAsia="zh-CN"/>
        </w:rPr>
        <w:t>0</w:t>
      </w:r>
      <w:r>
        <w:rPr>
          <w:rFonts w:hint="eastAsia" w:ascii="仿宋_GB2312" w:hAnsi="仿宋"/>
          <w:color w:val="auto"/>
          <w:szCs w:val="32"/>
        </w:rPr>
        <w:t>万元，完成年初预算的</w:t>
      </w:r>
      <w:r>
        <w:rPr>
          <w:rFonts w:hint="eastAsia" w:ascii="仿宋_GB2312" w:hAnsi="仿宋"/>
          <w:color w:val="auto"/>
          <w:szCs w:val="32"/>
          <w:lang w:val="en-US" w:eastAsia="zh-CN"/>
        </w:rPr>
        <w:t>0.00</w:t>
      </w:r>
      <w:r>
        <w:rPr>
          <w:rFonts w:hint="eastAsia" w:ascii="仿宋_GB2312" w:hAnsi="仿宋"/>
          <w:color w:val="auto"/>
          <w:szCs w:val="32"/>
        </w:rPr>
        <w:t>%。</w:t>
      </w:r>
    </w:p>
    <w:p>
      <w:pPr>
        <w:numPr>
          <w:ilvl w:val="0"/>
          <w:numId w:val="1"/>
        </w:numPr>
        <w:ind w:firstLine="643" w:firstLineChars="200"/>
        <w:rPr>
          <w:rFonts w:hint="eastAsia" w:ascii="仿宋_GB2312" w:hAnsi="仿宋"/>
          <w:color w:val="auto"/>
          <w:szCs w:val="32"/>
        </w:rPr>
      </w:pPr>
      <w:r>
        <w:rPr>
          <w:rFonts w:hint="eastAsia" w:ascii="仿宋_GB2312" w:hAnsi="仿宋"/>
          <w:b/>
          <w:color w:val="auto"/>
          <w:szCs w:val="32"/>
        </w:rPr>
        <w:t>社会就业保障和就业（类）行政事业单位养老（款）事业单位离退休（项）。</w:t>
      </w:r>
      <w:r>
        <w:rPr>
          <w:rFonts w:hint="eastAsia" w:ascii="仿宋_GB2312" w:hAnsi="仿宋"/>
          <w:color w:val="auto"/>
          <w:szCs w:val="32"/>
        </w:rPr>
        <w:t>年初预算为</w:t>
      </w:r>
      <w:r>
        <w:rPr>
          <w:rFonts w:hint="eastAsia" w:ascii="仿宋_GB2312" w:hAnsi="仿宋"/>
          <w:color w:val="auto"/>
          <w:szCs w:val="32"/>
          <w:lang w:val="en-US" w:eastAsia="zh-CN"/>
        </w:rPr>
        <w:t>85.4</w:t>
      </w:r>
      <w:r>
        <w:rPr>
          <w:rFonts w:hint="eastAsia" w:ascii="仿宋_GB2312" w:hAnsi="仿宋"/>
          <w:color w:val="auto"/>
          <w:szCs w:val="32"/>
        </w:rPr>
        <w:t>万元，支出决算为</w:t>
      </w:r>
      <w:r>
        <w:rPr>
          <w:rFonts w:hint="eastAsia" w:ascii="仿宋_GB2312" w:hAnsi="仿宋"/>
          <w:color w:val="auto"/>
          <w:szCs w:val="32"/>
          <w:lang w:val="en-US" w:eastAsia="zh-CN"/>
        </w:rPr>
        <w:t>85.4</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p>
    <w:p>
      <w:pPr>
        <w:numPr>
          <w:ilvl w:val="0"/>
          <w:numId w:val="1"/>
        </w:numPr>
        <w:ind w:firstLine="643" w:firstLineChars="200"/>
        <w:rPr>
          <w:rFonts w:hint="eastAsia" w:ascii="仿宋_GB2312" w:hAnsi="仿宋"/>
          <w:color w:val="auto"/>
          <w:szCs w:val="32"/>
        </w:rPr>
      </w:pPr>
      <w:r>
        <w:rPr>
          <w:rFonts w:hint="eastAsia" w:ascii="仿宋_GB2312" w:hAnsi="仿宋"/>
          <w:b/>
          <w:color w:val="auto"/>
          <w:szCs w:val="32"/>
        </w:rPr>
        <w:t>社会就业保障和就业（类）行政事业单位养老（款）机关事业单位基本养老保险缴费（项）。</w:t>
      </w:r>
      <w:r>
        <w:rPr>
          <w:rFonts w:hint="eastAsia" w:ascii="仿宋_GB2312" w:hAnsi="仿宋"/>
          <w:color w:val="auto"/>
          <w:szCs w:val="32"/>
        </w:rPr>
        <w:t>年初预算为</w:t>
      </w:r>
      <w:r>
        <w:rPr>
          <w:rFonts w:hint="eastAsia" w:ascii="仿宋_GB2312" w:hAnsi="仿宋"/>
          <w:color w:val="auto"/>
          <w:szCs w:val="32"/>
          <w:lang w:val="en-US" w:eastAsia="zh-CN"/>
        </w:rPr>
        <w:t>27.06</w:t>
      </w:r>
      <w:r>
        <w:rPr>
          <w:rFonts w:hint="eastAsia" w:ascii="仿宋_GB2312" w:hAnsi="仿宋"/>
          <w:color w:val="auto"/>
          <w:szCs w:val="32"/>
        </w:rPr>
        <w:t>万元，支出决算为</w:t>
      </w:r>
      <w:r>
        <w:rPr>
          <w:rFonts w:hint="eastAsia" w:ascii="仿宋_GB2312" w:hAnsi="仿宋"/>
          <w:color w:val="auto"/>
          <w:szCs w:val="32"/>
          <w:lang w:val="en-US" w:eastAsia="zh-CN"/>
        </w:rPr>
        <w:t>37.4</w:t>
      </w:r>
      <w:r>
        <w:rPr>
          <w:rFonts w:hint="eastAsia" w:ascii="仿宋_GB2312" w:hAnsi="仿宋"/>
          <w:color w:val="auto"/>
          <w:szCs w:val="32"/>
        </w:rPr>
        <w:t>万元，完成年初预算的</w:t>
      </w:r>
      <w:r>
        <w:rPr>
          <w:rFonts w:hint="eastAsia" w:ascii="仿宋_GB2312" w:hAnsi="仿宋"/>
          <w:color w:val="auto"/>
          <w:szCs w:val="32"/>
          <w:lang w:val="en-US" w:eastAsia="zh-CN"/>
        </w:rPr>
        <w:t>138.21</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增加人员。</w:t>
      </w:r>
    </w:p>
    <w:p>
      <w:pPr>
        <w:numPr>
          <w:ilvl w:val="0"/>
          <w:numId w:val="1"/>
        </w:numPr>
        <w:ind w:firstLine="643" w:firstLineChars="200"/>
        <w:rPr>
          <w:rFonts w:hint="eastAsia" w:ascii="仿宋_GB2312" w:hAnsi="仿宋"/>
          <w:color w:val="auto"/>
          <w:szCs w:val="32"/>
        </w:rPr>
      </w:pPr>
      <w:r>
        <w:rPr>
          <w:rFonts w:hint="eastAsia" w:ascii="仿宋_GB2312" w:hAnsi="仿宋"/>
          <w:b/>
          <w:color w:val="auto"/>
          <w:szCs w:val="32"/>
        </w:rPr>
        <w:t>社会就业保障和就业（类）行政事业单位养老（款）机关事业单位职业年金缴费（项）。</w:t>
      </w:r>
      <w:r>
        <w:rPr>
          <w:rFonts w:hint="eastAsia" w:ascii="仿宋_GB2312" w:hAnsi="仿宋"/>
          <w:color w:val="auto"/>
          <w:szCs w:val="32"/>
        </w:rPr>
        <w:t>年初预算为</w:t>
      </w:r>
      <w:r>
        <w:rPr>
          <w:rFonts w:hint="eastAsia" w:ascii="仿宋_GB2312" w:hAnsi="仿宋"/>
          <w:color w:val="auto"/>
          <w:szCs w:val="32"/>
          <w:lang w:val="en-US" w:eastAsia="zh-CN"/>
        </w:rPr>
        <w:t>13.53</w:t>
      </w:r>
      <w:r>
        <w:rPr>
          <w:rFonts w:hint="eastAsia" w:ascii="仿宋_GB2312" w:hAnsi="仿宋"/>
          <w:color w:val="auto"/>
          <w:szCs w:val="32"/>
        </w:rPr>
        <w:t>万元，支出决算为</w:t>
      </w:r>
      <w:r>
        <w:rPr>
          <w:rFonts w:hint="eastAsia" w:ascii="仿宋_GB2312" w:hAnsi="仿宋"/>
          <w:color w:val="auto"/>
          <w:szCs w:val="32"/>
          <w:lang w:val="en-US" w:eastAsia="zh-CN"/>
        </w:rPr>
        <w:t>18.7</w:t>
      </w:r>
      <w:r>
        <w:rPr>
          <w:rFonts w:hint="eastAsia" w:ascii="仿宋_GB2312" w:hAnsi="仿宋"/>
          <w:color w:val="auto"/>
          <w:szCs w:val="32"/>
        </w:rPr>
        <w:t>万元，完成年初预算的</w:t>
      </w:r>
      <w:r>
        <w:rPr>
          <w:rFonts w:hint="eastAsia" w:ascii="仿宋_GB2312" w:hAnsi="仿宋"/>
          <w:color w:val="auto"/>
          <w:szCs w:val="32"/>
          <w:lang w:val="en-US" w:eastAsia="zh-CN"/>
        </w:rPr>
        <w:t>138.21</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增加人员</w:t>
      </w:r>
      <w:r>
        <w:rPr>
          <w:rFonts w:hint="eastAsia" w:ascii="仿宋_GB2312" w:hAnsi="仿宋"/>
          <w:color w:val="auto"/>
          <w:szCs w:val="32"/>
        </w:rPr>
        <w:t>。</w:t>
      </w:r>
    </w:p>
    <w:p>
      <w:pPr>
        <w:numPr>
          <w:ilvl w:val="0"/>
          <w:numId w:val="1"/>
        </w:numPr>
        <w:ind w:firstLine="643" w:firstLineChars="200"/>
        <w:rPr>
          <w:rFonts w:hint="eastAsia" w:ascii="仿宋_GB2312" w:hAnsi="仿宋"/>
          <w:color w:val="auto"/>
          <w:szCs w:val="32"/>
        </w:rPr>
      </w:pPr>
      <w:r>
        <w:rPr>
          <w:rFonts w:hint="eastAsia" w:ascii="仿宋_GB2312" w:hAnsi="仿宋"/>
          <w:b/>
          <w:color w:val="auto"/>
          <w:szCs w:val="32"/>
        </w:rPr>
        <w:t>社会保障和就业支出（类）抚恤（款）死亡抚恤（项）</w:t>
      </w:r>
      <w:r>
        <w:rPr>
          <w:rFonts w:hint="eastAsia" w:ascii="仿宋_GB2312" w:hAnsi="仿宋"/>
          <w:color w:val="auto"/>
          <w:szCs w:val="32"/>
        </w:rPr>
        <w:t>年初预算为</w:t>
      </w:r>
      <w:r>
        <w:rPr>
          <w:rFonts w:hint="default" w:ascii="Times New Roman" w:hAnsi="Times New Roman" w:eastAsia="仿宋" w:cs="Times New Roman"/>
          <w:i w:val="0"/>
          <w:iCs w:val="0"/>
          <w:caps w:val="0"/>
          <w:color w:val="auto"/>
          <w:spacing w:val="0"/>
          <w:sz w:val="32"/>
          <w:szCs w:val="32"/>
          <w:shd w:val="clear" w:fill="FFFFFF"/>
        </w:rPr>
        <w:t>2.62</w:t>
      </w:r>
      <w:r>
        <w:rPr>
          <w:rFonts w:hint="eastAsia" w:ascii="仿宋" w:hAnsi="仿宋" w:eastAsia="仿宋" w:cs="仿宋"/>
          <w:i w:val="0"/>
          <w:iCs w:val="0"/>
          <w:caps w:val="0"/>
          <w:color w:val="auto"/>
          <w:spacing w:val="0"/>
          <w:sz w:val="32"/>
          <w:szCs w:val="32"/>
          <w:shd w:val="clear" w:fill="FFFFFF"/>
        </w:rPr>
        <w:t>万元，</w:t>
      </w:r>
      <w:r>
        <w:rPr>
          <w:rFonts w:hint="eastAsia" w:ascii="仿宋_GB2312" w:hAnsi="仿宋"/>
          <w:color w:val="auto"/>
          <w:szCs w:val="32"/>
        </w:rPr>
        <w:t>支出决算为</w:t>
      </w:r>
      <w:r>
        <w:rPr>
          <w:rFonts w:hint="eastAsia" w:ascii="仿宋_GB2312" w:hAnsi="仿宋"/>
          <w:color w:val="auto"/>
          <w:szCs w:val="32"/>
          <w:lang w:val="en-US" w:eastAsia="zh-CN"/>
        </w:rPr>
        <w:t>2.76</w:t>
      </w:r>
      <w:r>
        <w:rPr>
          <w:rFonts w:hint="eastAsia" w:ascii="仿宋_GB2312" w:hAnsi="仿宋"/>
          <w:color w:val="auto"/>
          <w:szCs w:val="32"/>
        </w:rPr>
        <w:t>万元，完成年初预算的</w:t>
      </w:r>
      <w:r>
        <w:rPr>
          <w:rFonts w:hint="eastAsia" w:ascii="仿宋_GB2312" w:hAnsi="仿宋"/>
          <w:color w:val="auto"/>
          <w:szCs w:val="32"/>
          <w:lang w:val="en-US" w:eastAsia="zh-CN"/>
        </w:rPr>
        <w:t>105.34</w:t>
      </w:r>
      <w:r>
        <w:rPr>
          <w:rFonts w:hint="eastAsia" w:ascii="仿宋_GB2312" w:hAnsi="仿宋"/>
          <w:color w:val="auto"/>
          <w:szCs w:val="32"/>
        </w:rPr>
        <w:t>%，决算数大于预算数的主要原因是死亡</w:t>
      </w:r>
      <w:r>
        <w:rPr>
          <w:rFonts w:hint="eastAsia" w:ascii="仿宋_GB2312" w:hAnsi="仿宋"/>
          <w:color w:val="auto"/>
          <w:szCs w:val="32"/>
          <w:lang w:val="en-US" w:eastAsia="zh-CN"/>
        </w:rPr>
        <w:t>人员增加一人。</w:t>
      </w:r>
    </w:p>
    <w:p>
      <w:pPr>
        <w:numPr>
          <w:ilvl w:val="0"/>
          <w:numId w:val="1"/>
        </w:numPr>
        <w:ind w:firstLine="643" w:firstLineChars="200"/>
        <w:rPr>
          <w:rFonts w:hint="eastAsia" w:ascii="仿宋_GB2312" w:hAnsi="仿宋"/>
          <w:color w:val="auto"/>
          <w:szCs w:val="32"/>
        </w:rPr>
      </w:pPr>
      <w:r>
        <w:rPr>
          <w:rFonts w:hint="eastAsia" w:ascii="仿宋_GB2312" w:hAnsi="仿宋"/>
          <w:b/>
          <w:color w:val="auto"/>
          <w:szCs w:val="32"/>
        </w:rPr>
        <w:t>卫生健康（类）行政事业单位医疗（款）事业单位医疗（项）。</w:t>
      </w:r>
      <w:r>
        <w:rPr>
          <w:rFonts w:hint="eastAsia" w:ascii="仿宋_GB2312" w:hAnsi="仿宋"/>
          <w:color w:val="auto"/>
          <w:szCs w:val="32"/>
        </w:rPr>
        <w:t>年初预算为</w:t>
      </w:r>
      <w:r>
        <w:rPr>
          <w:rFonts w:hint="eastAsia" w:ascii="仿宋_GB2312" w:hAnsi="仿宋"/>
          <w:color w:val="auto"/>
          <w:szCs w:val="32"/>
          <w:lang w:val="en-US" w:eastAsia="zh-CN"/>
        </w:rPr>
        <w:t>8.47</w:t>
      </w:r>
      <w:r>
        <w:rPr>
          <w:rFonts w:hint="eastAsia" w:ascii="仿宋_GB2312" w:hAnsi="仿宋"/>
          <w:color w:val="auto"/>
          <w:szCs w:val="32"/>
        </w:rPr>
        <w:t>万元，支出决算为</w:t>
      </w:r>
      <w:r>
        <w:rPr>
          <w:rFonts w:hint="eastAsia" w:ascii="仿宋_GB2312" w:hAnsi="仿宋"/>
          <w:color w:val="auto"/>
          <w:szCs w:val="32"/>
          <w:lang w:val="en-US" w:eastAsia="zh-CN"/>
        </w:rPr>
        <w:t>9.19</w:t>
      </w:r>
      <w:r>
        <w:rPr>
          <w:rFonts w:hint="eastAsia" w:ascii="仿宋_GB2312" w:hAnsi="仿宋"/>
          <w:color w:val="auto"/>
          <w:szCs w:val="32"/>
        </w:rPr>
        <w:t>万元，完成年初预算的</w:t>
      </w:r>
      <w:r>
        <w:rPr>
          <w:rFonts w:hint="eastAsia" w:ascii="仿宋_GB2312" w:hAnsi="仿宋"/>
          <w:color w:val="auto"/>
          <w:szCs w:val="32"/>
          <w:lang w:val="en-US" w:eastAsia="zh-CN"/>
        </w:rPr>
        <w:t>108.5</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增加人员</w:t>
      </w:r>
      <w:r>
        <w:rPr>
          <w:rFonts w:hint="eastAsia" w:ascii="仿宋_GB2312" w:hAnsi="仿宋"/>
          <w:color w:val="auto"/>
          <w:szCs w:val="32"/>
        </w:rPr>
        <w:t>。</w:t>
      </w:r>
    </w:p>
    <w:p>
      <w:pPr>
        <w:numPr>
          <w:ilvl w:val="0"/>
          <w:numId w:val="1"/>
        </w:numPr>
        <w:ind w:firstLine="643" w:firstLineChars="200"/>
        <w:rPr>
          <w:rFonts w:hint="eastAsia" w:ascii="仿宋_GB2312" w:hAnsi="仿宋"/>
          <w:color w:val="auto"/>
          <w:szCs w:val="32"/>
        </w:rPr>
      </w:pPr>
      <w:r>
        <w:rPr>
          <w:rFonts w:hint="eastAsia" w:ascii="仿宋_GB2312" w:hAnsi="仿宋"/>
          <w:b/>
          <w:color w:val="auto"/>
          <w:szCs w:val="32"/>
        </w:rPr>
        <w:t>住房保障（类）住房改革（款）住房公积金（项）。</w:t>
      </w:r>
      <w:r>
        <w:rPr>
          <w:rFonts w:hint="eastAsia" w:ascii="仿宋_GB2312" w:hAnsi="仿宋"/>
          <w:color w:val="auto"/>
          <w:szCs w:val="32"/>
        </w:rPr>
        <w:t>年初预算为</w:t>
      </w:r>
      <w:r>
        <w:rPr>
          <w:rFonts w:hint="eastAsia" w:ascii="仿宋_GB2312" w:hAnsi="仿宋"/>
          <w:color w:val="auto"/>
          <w:szCs w:val="32"/>
          <w:lang w:val="en-US" w:eastAsia="zh-CN"/>
        </w:rPr>
        <w:t>18.73</w:t>
      </w:r>
      <w:r>
        <w:rPr>
          <w:rFonts w:hint="eastAsia" w:ascii="仿宋_GB2312" w:hAnsi="仿宋"/>
          <w:color w:val="auto"/>
          <w:szCs w:val="32"/>
        </w:rPr>
        <w:t>万元，支出决算为</w:t>
      </w:r>
      <w:r>
        <w:rPr>
          <w:rFonts w:hint="eastAsia" w:ascii="仿宋_GB2312" w:hAnsi="仿宋"/>
          <w:color w:val="auto"/>
          <w:szCs w:val="32"/>
          <w:lang w:val="en-US" w:eastAsia="zh-CN"/>
        </w:rPr>
        <w:t>21.34</w:t>
      </w:r>
      <w:r>
        <w:rPr>
          <w:rFonts w:hint="eastAsia" w:ascii="仿宋_GB2312" w:hAnsi="仿宋"/>
          <w:color w:val="auto"/>
          <w:szCs w:val="32"/>
        </w:rPr>
        <w:t>万元，完成年初预算的</w:t>
      </w:r>
      <w:r>
        <w:rPr>
          <w:rFonts w:hint="eastAsia" w:ascii="仿宋_GB2312" w:hAnsi="仿宋"/>
          <w:color w:val="auto"/>
          <w:szCs w:val="32"/>
          <w:lang w:val="en-US" w:eastAsia="zh-CN"/>
        </w:rPr>
        <w:t>113.93</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预算没有全额测算公积金资金</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40" w:firstLineChars="200"/>
        <w:rPr>
          <w:rFonts w:hint="eastAsia" w:ascii="楷体_GB2312" w:hAnsi="仿宋" w:eastAsia="楷体_GB2312"/>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w:t>
      </w:r>
      <w:r>
        <w:rPr>
          <w:rFonts w:hint="eastAsia" w:ascii="仿宋_GB2312" w:hAnsi="仿宋"/>
          <w:color w:val="auto"/>
          <w:szCs w:val="32"/>
          <w:lang w:val="en-US" w:eastAsia="zh-CN"/>
        </w:rPr>
        <w:t>465.73</w:t>
      </w:r>
      <w:r>
        <w:rPr>
          <w:rFonts w:hint="eastAsia" w:ascii="仿宋_GB2312" w:hAnsi="仿宋"/>
          <w:color w:val="auto"/>
          <w:szCs w:val="32"/>
        </w:rPr>
        <w:t>万元，其中：人员经费</w:t>
      </w:r>
      <w:r>
        <w:rPr>
          <w:rFonts w:hint="eastAsia" w:ascii="仿宋_GB2312" w:hAnsi="仿宋"/>
          <w:color w:val="auto"/>
          <w:szCs w:val="32"/>
          <w:lang w:val="en-US" w:eastAsia="zh-CN"/>
        </w:rPr>
        <w:t>449.56</w:t>
      </w:r>
      <w:r>
        <w:rPr>
          <w:rFonts w:hint="eastAsia" w:ascii="仿宋_GB2312" w:hAnsi="仿宋"/>
          <w:color w:val="auto"/>
          <w:szCs w:val="32"/>
        </w:rPr>
        <w:t>万元，主要包括:基本工资、津贴补贴</w:t>
      </w:r>
      <w:r>
        <w:rPr>
          <w:rFonts w:hint="eastAsia" w:ascii="仿宋_GB2312" w:hAnsi="仿宋"/>
          <w:color w:val="auto"/>
          <w:szCs w:val="32"/>
          <w:lang w:eastAsia="zh-CN"/>
        </w:rPr>
        <w:t>、</w:t>
      </w:r>
      <w:r>
        <w:rPr>
          <w:rFonts w:hint="eastAsia" w:ascii="仿宋_GB2312" w:hAnsi="仿宋"/>
          <w:color w:val="auto"/>
          <w:szCs w:val="32"/>
        </w:rPr>
        <w:t>奖金、绩效工资、机关事业单位基本养老保险缴费、职业年金缴费、职工基本医疗保险缴费、其他社会保障缴费、住房公积金、医疗费</w:t>
      </w:r>
      <w:r>
        <w:rPr>
          <w:rFonts w:hint="eastAsia" w:ascii="仿宋_GB2312" w:hAnsi="仿宋"/>
          <w:color w:val="auto"/>
          <w:szCs w:val="32"/>
          <w:lang w:eastAsia="zh-CN"/>
        </w:rPr>
        <w:t>、</w:t>
      </w:r>
      <w:r>
        <w:rPr>
          <w:rFonts w:hint="eastAsia" w:ascii="仿宋_GB2312" w:hAnsi="仿宋"/>
          <w:color w:val="auto"/>
          <w:szCs w:val="32"/>
        </w:rPr>
        <w:t>退休费、抚恤金、生活补助；公用经费</w:t>
      </w:r>
      <w:r>
        <w:rPr>
          <w:rFonts w:hint="eastAsia" w:ascii="仿宋_GB2312" w:hAnsi="仿宋"/>
          <w:color w:val="auto"/>
          <w:szCs w:val="32"/>
          <w:lang w:val="en-US" w:eastAsia="zh-CN"/>
        </w:rPr>
        <w:t>16.17</w:t>
      </w:r>
      <w:r>
        <w:rPr>
          <w:rFonts w:hint="eastAsia" w:ascii="仿宋_GB2312" w:hAnsi="仿宋"/>
          <w:color w:val="auto"/>
          <w:szCs w:val="32"/>
        </w:rPr>
        <w:t>万元，主要包括：办公费、印刷费、水费、电费、邮电费、培训费、工会经费、福利费、其他商品和服务支出。</w:t>
      </w:r>
    </w:p>
    <w:p>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年度政府性基金预算财政拨款年初结转和结余</w:t>
      </w:r>
      <w:r>
        <w:rPr>
          <w:rFonts w:hint="eastAsia" w:ascii="仿宋_GB2312" w:hAnsi="仿宋"/>
          <w:color w:val="auto"/>
          <w:szCs w:val="32"/>
          <w:lang w:val="en-US" w:eastAsia="zh-CN"/>
        </w:rPr>
        <w:t>0</w:t>
      </w:r>
      <w:r>
        <w:rPr>
          <w:rFonts w:hint="eastAsia" w:ascii="仿宋_GB2312" w:hAnsi="仿宋"/>
          <w:color w:val="auto"/>
          <w:szCs w:val="32"/>
        </w:rPr>
        <w:t>万元，本年收入</w:t>
      </w:r>
      <w:r>
        <w:rPr>
          <w:rFonts w:hint="eastAsia" w:ascii="仿宋_GB2312" w:hAnsi="仿宋"/>
          <w:color w:val="auto"/>
          <w:szCs w:val="32"/>
          <w:lang w:val="en-US" w:eastAsia="zh-CN"/>
        </w:rPr>
        <w:t>0</w:t>
      </w:r>
      <w:r>
        <w:rPr>
          <w:rFonts w:hint="eastAsia" w:ascii="仿宋_GB2312" w:hAnsi="仿宋"/>
          <w:color w:val="auto"/>
          <w:szCs w:val="32"/>
        </w:rPr>
        <w:t>万元，本年支出</w:t>
      </w:r>
      <w:r>
        <w:rPr>
          <w:rFonts w:hint="eastAsia" w:ascii="仿宋_GB2312" w:hAnsi="仿宋"/>
          <w:color w:val="auto"/>
          <w:szCs w:val="32"/>
          <w:lang w:val="en-US" w:eastAsia="zh-CN"/>
        </w:rPr>
        <w:t>0</w:t>
      </w:r>
      <w:r>
        <w:rPr>
          <w:rFonts w:hint="eastAsia" w:ascii="仿宋_GB2312" w:hAnsi="仿宋"/>
          <w:color w:val="auto"/>
          <w:szCs w:val="32"/>
        </w:rPr>
        <w:t>万元，年末结转和结余</w:t>
      </w:r>
      <w:r>
        <w:rPr>
          <w:rFonts w:hint="eastAsia" w:ascii="仿宋_GB2312" w:hAnsi="仿宋"/>
          <w:color w:val="auto"/>
          <w:szCs w:val="32"/>
          <w:lang w:val="en-US" w:eastAsia="zh-CN"/>
        </w:rPr>
        <w:t>0</w:t>
      </w:r>
      <w:r>
        <w:rPr>
          <w:rFonts w:hint="eastAsia" w:ascii="仿宋_GB2312" w:hAnsi="仿宋"/>
          <w:color w:val="auto"/>
          <w:szCs w:val="32"/>
        </w:rPr>
        <w:t>万元。具体情况说明如下：</w:t>
      </w:r>
    </w:p>
    <w:p>
      <w:pPr>
        <w:ind w:firstLine="640" w:firstLineChars="200"/>
        <w:rPr>
          <w:rFonts w:ascii="仿宋_GB2312" w:hAnsi="仿宋"/>
          <w:color w:val="auto"/>
          <w:szCs w:val="32"/>
        </w:rPr>
      </w:pPr>
      <w:r>
        <w:rPr>
          <w:rFonts w:hint="eastAsia" w:ascii="仿宋_GB2312" w:hAnsi="仿宋"/>
          <w:color w:val="auto"/>
          <w:szCs w:val="32"/>
        </w:rPr>
        <w:t>黄山市新潭小学没有政府性基金预算收入，也没有使用政府性基金预算安排的支出。</w:t>
      </w:r>
    </w:p>
    <w:p>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年度国有资本经营预算财政拨款年初结转和结余</w:t>
      </w:r>
      <w:r>
        <w:rPr>
          <w:rFonts w:hint="eastAsia" w:ascii="仿宋_GB2312" w:hAnsi="仿宋"/>
          <w:color w:val="auto"/>
          <w:szCs w:val="32"/>
          <w:lang w:val="en-US" w:eastAsia="zh-CN"/>
        </w:rPr>
        <w:t>0</w:t>
      </w:r>
      <w:r>
        <w:rPr>
          <w:rFonts w:hint="eastAsia" w:ascii="仿宋_GB2312" w:hAnsi="仿宋"/>
          <w:color w:val="auto"/>
          <w:szCs w:val="32"/>
        </w:rPr>
        <w:t>万元，本年收入</w:t>
      </w:r>
      <w:r>
        <w:rPr>
          <w:rFonts w:hint="eastAsia" w:ascii="仿宋_GB2312" w:hAnsi="仿宋"/>
          <w:color w:val="auto"/>
          <w:szCs w:val="32"/>
          <w:lang w:val="en-US" w:eastAsia="zh-CN"/>
        </w:rPr>
        <w:t>0</w:t>
      </w:r>
      <w:r>
        <w:rPr>
          <w:rFonts w:hint="eastAsia" w:ascii="仿宋_GB2312" w:hAnsi="仿宋"/>
          <w:color w:val="auto"/>
          <w:szCs w:val="32"/>
        </w:rPr>
        <w:t>万元，本年支出</w:t>
      </w:r>
      <w:r>
        <w:rPr>
          <w:rFonts w:hint="eastAsia" w:ascii="仿宋_GB2312" w:hAnsi="仿宋"/>
          <w:color w:val="auto"/>
          <w:szCs w:val="32"/>
          <w:lang w:val="en-US" w:eastAsia="zh-CN"/>
        </w:rPr>
        <w:t>0</w:t>
      </w:r>
      <w:r>
        <w:rPr>
          <w:rFonts w:hint="eastAsia" w:ascii="仿宋_GB2312" w:hAnsi="仿宋"/>
          <w:color w:val="auto"/>
          <w:szCs w:val="32"/>
        </w:rPr>
        <w:t>万元，年末结转和结余</w:t>
      </w:r>
      <w:r>
        <w:rPr>
          <w:rFonts w:hint="eastAsia" w:ascii="仿宋_GB2312" w:hAnsi="仿宋"/>
          <w:color w:val="auto"/>
          <w:szCs w:val="32"/>
          <w:lang w:val="en-US" w:eastAsia="zh-CN"/>
        </w:rPr>
        <w:t>0</w:t>
      </w:r>
      <w:r>
        <w:rPr>
          <w:rFonts w:hint="eastAsia" w:ascii="仿宋_GB2312" w:hAnsi="仿宋"/>
          <w:color w:val="auto"/>
          <w:szCs w:val="32"/>
        </w:rPr>
        <w:t>万元。具体情况说明如下：</w:t>
      </w:r>
    </w:p>
    <w:p>
      <w:pPr>
        <w:ind w:firstLine="640" w:firstLineChars="200"/>
        <w:rPr>
          <w:rFonts w:hint="eastAsia" w:ascii="仿宋_GB2312" w:hAnsi="仿宋"/>
          <w:color w:val="auto"/>
          <w:szCs w:val="32"/>
        </w:rPr>
      </w:pPr>
      <w:r>
        <w:rPr>
          <w:rFonts w:hint="eastAsia" w:ascii="仿宋_GB2312" w:hAnsi="仿宋"/>
          <w:color w:val="auto"/>
          <w:szCs w:val="32"/>
        </w:rPr>
        <w:t>黄山市新潭小学没有使用国有资本经营预算财政拨款安排的支出。</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（一）机关运行经费支出情况。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黄山市新潭小学</w:t>
      </w:r>
      <w:r>
        <w:rPr>
          <w:rFonts w:hint="eastAsia" w:ascii="仿宋_GB2312" w:hAnsi="仿宋"/>
          <w:color w:val="auto"/>
          <w:szCs w:val="32"/>
        </w:rPr>
        <w:t>机关运行经费支出</w:t>
      </w:r>
      <w:r>
        <w:rPr>
          <w:rFonts w:hint="eastAsia" w:ascii="仿宋_GB2312" w:hAnsi="仿宋"/>
          <w:color w:val="auto"/>
          <w:szCs w:val="32"/>
          <w:lang w:val="en-US" w:eastAsia="zh-CN"/>
        </w:rPr>
        <w:t>0</w:t>
      </w:r>
      <w:r>
        <w:rPr>
          <w:rFonts w:hint="eastAsia" w:ascii="仿宋_GB2312" w:hAnsi="仿宋"/>
          <w:color w:val="auto"/>
          <w:szCs w:val="32"/>
        </w:rPr>
        <w:t>万元，黄山市新潭小学为事业单位，按照财政部门部门决算机关运行经费的口径，本年度机关运行费为0。</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s="Times New Roman"/>
          <w:color w:val="auto"/>
          <w:szCs w:val="32"/>
          <w:lang w:eastAsia="zh-CN"/>
        </w:rPr>
        <w:t>202</w:t>
      </w:r>
      <w:r>
        <w:rPr>
          <w:rFonts w:hint="eastAsia" w:ascii="仿宋_GB2312" w:hAnsi="仿宋" w:cs="Times New Roman"/>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黄山市新潭小学</w:t>
      </w:r>
      <w:r>
        <w:rPr>
          <w:rFonts w:hint="eastAsia" w:ascii="仿宋_GB2312" w:hAnsi="仿宋"/>
          <w:color w:val="auto"/>
          <w:szCs w:val="32"/>
        </w:rPr>
        <w:t>政府采购支出总额</w:t>
      </w:r>
      <w:r>
        <w:rPr>
          <w:rFonts w:hint="eastAsia" w:ascii="仿宋_GB2312" w:hAnsi="仿宋"/>
          <w:color w:val="auto"/>
          <w:szCs w:val="32"/>
          <w:lang w:val="en-US" w:eastAsia="zh-CN"/>
        </w:rPr>
        <w:t>4.01</w:t>
      </w:r>
      <w:r>
        <w:rPr>
          <w:rFonts w:hint="eastAsia" w:ascii="仿宋_GB2312" w:hAnsi="仿宋"/>
          <w:color w:val="auto"/>
          <w:szCs w:val="32"/>
        </w:rPr>
        <w:t>万元，其中：政府采购货物支出</w:t>
      </w:r>
      <w:r>
        <w:rPr>
          <w:rFonts w:hint="eastAsia" w:ascii="仿宋_GB2312" w:hAnsi="仿宋"/>
          <w:color w:val="auto"/>
          <w:szCs w:val="32"/>
          <w:lang w:val="en-US" w:eastAsia="zh-CN"/>
        </w:rPr>
        <w:t>4.01</w:t>
      </w:r>
      <w:r>
        <w:rPr>
          <w:rFonts w:hint="eastAsia" w:ascii="仿宋_GB2312" w:hAnsi="仿宋"/>
          <w:color w:val="auto"/>
          <w:szCs w:val="32"/>
        </w:rPr>
        <w:t>万元、政府采购工程支出0万元、政府采购服务支出0万元。授予中小企业合同金额</w:t>
      </w:r>
      <w:r>
        <w:rPr>
          <w:rFonts w:hint="eastAsia" w:ascii="仿宋_GB2312" w:hAnsi="仿宋"/>
          <w:color w:val="auto"/>
          <w:szCs w:val="32"/>
          <w:lang w:val="en-US" w:eastAsia="zh-CN"/>
        </w:rPr>
        <w:t>4.01</w:t>
      </w:r>
      <w:r>
        <w:rPr>
          <w:rFonts w:hint="eastAsia" w:ascii="仿宋_GB2312" w:hAnsi="仿宋"/>
          <w:color w:val="auto"/>
          <w:szCs w:val="32"/>
        </w:rPr>
        <w:t>万元，占政府采购支出总额的100.0%，其中：</w:t>
      </w:r>
      <w:r>
        <w:rPr>
          <w:rFonts w:hint="eastAsia" w:ascii="仿宋" w:hAnsi="仿宋" w:eastAsia="仿宋"/>
          <w:color w:val="auto"/>
        </w:rPr>
        <w:t>授予小微企业合同金额0万元，</w:t>
      </w:r>
      <w:r>
        <w:rPr>
          <w:rFonts w:hint="eastAsia" w:ascii="仿宋_GB2312" w:hAnsi="仿宋"/>
          <w:color w:val="auto"/>
          <w:szCs w:val="32"/>
        </w:rPr>
        <w:t>占授予中小企业合同金额的0.0%；货物采购授予中小企业合同金额占货物支出金额的0.0%，工程采购授予中小企业合同金额占工程支出金额的0.0%，服务采购授予中小企业合同金额占服务支出金额的0.0%。</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pPr>
        <w:adjustRightInd w:val="0"/>
        <w:snapToGrid w:val="0"/>
        <w:spacing w:line="600" w:lineRule="exact"/>
        <w:ind w:firstLine="640" w:firstLineChars="200"/>
        <w:rPr>
          <w:rFonts w:hint="eastAsia" w:ascii="仿宋_GB2312" w:hAnsi="楷体"/>
          <w:b/>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color w:val="auto"/>
          <w:szCs w:val="32"/>
          <w:lang w:eastAsia="zh-CN"/>
        </w:rPr>
        <w:t>黄山市新潭小学</w:t>
      </w:r>
      <w:r>
        <w:rPr>
          <w:rFonts w:hint="eastAsia" w:ascii="仿宋_GB2312" w:hAnsi="仿宋"/>
          <w:color w:val="auto"/>
          <w:szCs w:val="32"/>
        </w:rPr>
        <w:t>共有车辆</w:t>
      </w:r>
      <w:r>
        <w:rPr>
          <w:rFonts w:hint="eastAsia" w:ascii="仿宋_GB2312" w:hAnsi="仿宋"/>
          <w:color w:val="auto"/>
          <w:szCs w:val="32"/>
          <w:lang w:val="en-US" w:eastAsia="zh-CN"/>
        </w:rPr>
        <w:t>0</w:t>
      </w:r>
      <w:r>
        <w:rPr>
          <w:rFonts w:hint="eastAsia" w:ascii="仿宋_GB2312" w:hAnsi="仿宋"/>
          <w:color w:val="auto"/>
          <w:szCs w:val="32"/>
        </w:rPr>
        <w:t>辆，单价50万元以上的通用设备0台（套），单价100万元（含）以上设备（不含车辆）0台（套）。</w:t>
      </w:r>
      <w:r>
        <w:rPr>
          <w:rFonts w:ascii="仿宋_GB2312" w:hAnsi="仿宋"/>
          <w:color w:val="auto"/>
          <w:szCs w:val="32"/>
        </w:rPr>
        <w:br w:type="textWrapping"/>
      </w:r>
      <w:r>
        <w:rPr>
          <w:rFonts w:ascii="仿宋_GB2312" w:hAnsi="仿宋"/>
          <w:color w:val="auto"/>
          <w:szCs w:val="32"/>
        </w:rPr>
        <w:br w:type="textWrapping"/>
      </w:r>
      <w:r>
        <w:rPr>
          <w:rFonts w:hint="eastAsia" w:ascii="仿宋_GB2312" w:hAnsi="楷体"/>
          <w:b/>
          <w:color w:val="auto"/>
          <w:szCs w:val="32"/>
        </w:rPr>
        <w:t>（四）关于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（1）绩效评价工作开展情况。</w:t>
      </w:r>
    </w:p>
    <w:p>
      <w:pPr>
        <w:spacing w:line="560" w:lineRule="exact"/>
        <w:ind w:firstLine="640" w:firstLineChars="200"/>
        <w:rPr>
          <w:rFonts w:hint="eastAsia" w:ascii="楷体_GB2312" w:hAnsi="仿宋" w:eastAsia="楷体_GB2312"/>
          <w:color w:val="auto"/>
          <w:szCs w:val="32"/>
        </w:rPr>
      </w:pPr>
      <w:r>
        <w:rPr>
          <w:rFonts w:hint="eastAsia" w:ascii="仿宋_GB2312" w:hAnsi="仿宋_GB2312" w:eastAsia="仿宋_GB2312" w:cs="仿宋_GB2312"/>
          <w:color w:val="auto"/>
          <w:sz w:val="32"/>
          <w:szCs w:val="32"/>
        </w:rPr>
        <w:t>根据预算绩效管理要求，</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对202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年度纳入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预算的项目支出全面开展了绩效自评，共</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个项目，涉及资金</w:t>
      </w:r>
      <w:r>
        <w:rPr>
          <w:rFonts w:hint="eastAsia" w:ascii="仿宋_GB2312" w:hAnsi="仿宋_GB2312" w:cs="仿宋_GB2312"/>
          <w:color w:val="auto"/>
          <w:sz w:val="32"/>
          <w:szCs w:val="32"/>
          <w:lang w:val="en-US" w:eastAsia="zh-CN"/>
        </w:rPr>
        <w:t>17.61</w:t>
      </w:r>
      <w:r>
        <w:rPr>
          <w:rFonts w:hint="eastAsia" w:ascii="仿宋_GB2312" w:hAnsi="仿宋_GB2312" w:eastAsia="仿宋_GB2312" w:cs="仿宋_GB2312"/>
          <w:color w:val="auto"/>
          <w:sz w:val="32"/>
          <w:szCs w:val="32"/>
        </w:rPr>
        <w:t>万元。从评价情况看，</w:t>
      </w:r>
      <w:r>
        <w:rPr>
          <w:rFonts w:hint="eastAsia" w:ascii="仿宋_GB2312" w:hAnsi="仿宋_GB2312" w:cs="仿宋_GB2312"/>
          <w:color w:val="auto"/>
          <w:szCs w:val="32"/>
        </w:rPr>
        <w:t>对家庭经济困难学生补助生活费，落实义务教育经费保障机制及家庭经济困难学生生活补助政策</w:t>
      </w:r>
      <w:r>
        <w:rPr>
          <w:rFonts w:hint="eastAsia" w:ascii="仿宋_GB2312" w:hAnsi="仿宋_GB2312" w:cs="仿宋_GB2312"/>
          <w:color w:val="auto"/>
          <w:szCs w:val="32"/>
          <w:lang w:eastAsia="zh-CN"/>
        </w:rPr>
        <w:t>，</w:t>
      </w:r>
      <w:r>
        <w:rPr>
          <w:rFonts w:hint="eastAsia" w:ascii="楷体" w:hAnsi="楷体" w:eastAsia="楷体" w:cs="楷体"/>
          <w:bCs/>
          <w:color w:val="auto"/>
          <w:sz w:val="32"/>
          <w:szCs w:val="32"/>
        </w:rPr>
        <w:t>达到了预期绩效目标</w:t>
      </w:r>
    </w:p>
    <w:p>
      <w:pPr>
        <w:spacing w:line="560" w:lineRule="exact"/>
        <w:ind w:firstLine="640" w:firstLineChars="200"/>
        <w:rPr>
          <w:rFonts w:hint="eastAsia" w:ascii="楷体_GB2312" w:hAnsi="仿宋" w:eastAsia="楷体_GB2312"/>
          <w:color w:val="auto"/>
          <w:szCs w:val="32"/>
        </w:rPr>
      </w:pPr>
      <w:r>
        <w:rPr>
          <w:rFonts w:hint="eastAsia" w:ascii="仿宋_GB2312" w:hAnsi="仿宋_GB2312" w:eastAsia="仿宋_GB2312" w:cs="仿宋_GB2312"/>
          <w:color w:val="auto"/>
          <w:sz w:val="32"/>
          <w:szCs w:val="32"/>
          <w:lang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w:t>
      </w:r>
      <w:r>
        <w:rPr>
          <w:color w:val="auto"/>
        </w:rPr>
        <w:t>未开展单位整体支出绩效评价。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bCs/>
          <w:color w:val="auto"/>
          <w:sz w:val="32"/>
          <w:szCs w:val="32"/>
          <w:lang w:eastAsia="zh-CN"/>
        </w:rPr>
      </w:pPr>
      <w:r>
        <w:rPr>
          <w:rFonts w:hint="eastAsia" w:ascii="仿宋_GB2312" w:hAnsi="仿宋_GB2312" w:cs="仿宋_GB2312"/>
          <w:b/>
          <w:bCs/>
          <w:color w:val="auto"/>
          <w:sz w:val="32"/>
          <w:szCs w:val="32"/>
          <w:lang w:eastAsia="zh-CN"/>
        </w:rPr>
        <w:t>（</w:t>
      </w:r>
      <w:r>
        <w:rPr>
          <w:rFonts w:hint="eastAsia" w:ascii="仿宋_GB2312" w:hAnsi="仿宋_GB2312" w:cs="仿宋_GB2312"/>
          <w:b/>
          <w:bCs/>
          <w:color w:val="auto"/>
          <w:sz w:val="32"/>
          <w:szCs w:val="32"/>
          <w:lang w:val="en-US" w:eastAsia="zh-CN"/>
        </w:rPr>
        <w:t>2</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lang w:eastAsia="zh-CN"/>
        </w:rPr>
        <w:t>单位</w:t>
      </w:r>
      <w:r>
        <w:rPr>
          <w:rFonts w:hint="eastAsia" w:ascii="仿宋_GB2312" w:hAnsi="仿宋_GB2312" w:eastAsia="仿宋_GB2312" w:cs="仿宋_GB2312"/>
          <w:b/>
          <w:bCs/>
          <w:color w:val="auto"/>
          <w:sz w:val="32"/>
          <w:szCs w:val="32"/>
        </w:rPr>
        <w:t>决算中项目绩效自评结果</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我单位在202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年度单位决算中反映“2023年提前下达义保公用经费省级资金”项目绩效自评综述和所有项目支出绩效自评表。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2023年提前下达义保公用经费省级资金项目绩效自评综述：根据年初设定的绩效目标，项目绩效自评得分为</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分。全年预算数为</w:t>
      </w:r>
      <w:r>
        <w:rPr>
          <w:rFonts w:hint="eastAsia" w:ascii="仿宋_GB2312" w:hAnsi="仿宋_GB2312" w:cs="仿宋_GB2312"/>
          <w:color w:val="auto"/>
          <w:sz w:val="32"/>
          <w:szCs w:val="32"/>
          <w:lang w:val="en-US" w:eastAsia="zh-CN"/>
        </w:rPr>
        <w:t>7.2</w:t>
      </w:r>
      <w:r>
        <w:rPr>
          <w:rFonts w:hint="eastAsia" w:ascii="仿宋_GB2312" w:hAnsi="仿宋_GB2312" w:eastAsia="仿宋_GB2312" w:cs="仿宋_GB2312"/>
          <w:color w:val="auto"/>
          <w:sz w:val="32"/>
          <w:szCs w:val="32"/>
          <w:lang w:eastAsia="zh-CN"/>
        </w:rPr>
        <w:t>万元，执行数为</w:t>
      </w:r>
      <w:r>
        <w:rPr>
          <w:rFonts w:hint="eastAsia" w:ascii="仿宋_GB2312" w:hAnsi="仿宋_GB2312" w:cs="仿宋_GB2312"/>
          <w:color w:val="auto"/>
          <w:sz w:val="32"/>
          <w:szCs w:val="32"/>
          <w:lang w:val="en-US" w:eastAsia="zh-CN"/>
        </w:rPr>
        <w:t>7.2</w:t>
      </w:r>
      <w:r>
        <w:rPr>
          <w:rFonts w:hint="eastAsia" w:ascii="仿宋_GB2312" w:hAnsi="仿宋_GB2312" w:eastAsia="仿宋_GB2312" w:cs="仿宋_GB2312"/>
          <w:color w:val="auto"/>
          <w:sz w:val="32"/>
          <w:szCs w:val="32"/>
          <w:lang w:eastAsia="zh-CN"/>
        </w:rPr>
        <w:t>万元，完成预算的</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项目绩效目标完成情况：保障学校正常运转，完成教育教学活动和其他日常工作任务等方面支出。具体支出范围包括：教学业务与管理、教师培训、实验实习、文体活动、水电、取暖、交通差旅、邮电、仪器设备及图书资料等购置，房屋建筑物及仪器设备的维修维护等。</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2023年提前下达义保公用经费省级资金项目的《项目支出绩效自评表》</w:t>
      </w:r>
    </w:p>
    <w:tbl>
      <w:tblPr>
        <w:tblStyle w:val="5"/>
        <w:tblW w:w="9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480"/>
        <w:gridCol w:w="1056"/>
        <w:gridCol w:w="1111"/>
        <w:gridCol w:w="995"/>
        <w:gridCol w:w="636"/>
        <w:gridCol w:w="741"/>
        <w:gridCol w:w="1266"/>
        <w:gridCol w:w="545"/>
        <w:gridCol w:w="971"/>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936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36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5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1"/>
                <w:szCs w:val="21"/>
                <w:u w:val="none"/>
              </w:rPr>
            </w:pPr>
          </w:p>
        </w:tc>
        <w:tc>
          <w:tcPr>
            <w:tcW w:w="48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1"/>
                <w:szCs w:val="21"/>
                <w:u w:val="none"/>
              </w:rPr>
            </w:pPr>
          </w:p>
        </w:tc>
        <w:tc>
          <w:tcPr>
            <w:tcW w:w="105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1"/>
                <w:szCs w:val="21"/>
                <w:u w:val="none"/>
              </w:rPr>
            </w:pPr>
          </w:p>
        </w:tc>
        <w:tc>
          <w:tcPr>
            <w:tcW w:w="111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1"/>
                <w:szCs w:val="21"/>
                <w:u w:val="none"/>
              </w:rPr>
            </w:pPr>
          </w:p>
        </w:tc>
        <w:tc>
          <w:tcPr>
            <w:tcW w:w="99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1"/>
                <w:szCs w:val="21"/>
                <w:u w:val="none"/>
              </w:rPr>
            </w:pPr>
          </w:p>
        </w:tc>
        <w:tc>
          <w:tcPr>
            <w:tcW w:w="63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1"/>
                <w:szCs w:val="21"/>
                <w:u w:val="none"/>
              </w:rPr>
            </w:pPr>
          </w:p>
        </w:tc>
        <w:tc>
          <w:tcPr>
            <w:tcW w:w="74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1"/>
                <w:szCs w:val="21"/>
                <w:u w:val="none"/>
              </w:rPr>
            </w:pPr>
          </w:p>
        </w:tc>
        <w:tc>
          <w:tcPr>
            <w:tcW w:w="126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1"/>
                <w:szCs w:val="21"/>
                <w:u w:val="none"/>
              </w:rPr>
            </w:pPr>
          </w:p>
        </w:tc>
        <w:tc>
          <w:tcPr>
            <w:tcW w:w="54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1"/>
                <w:szCs w:val="21"/>
                <w:u w:val="none"/>
              </w:rPr>
            </w:pPr>
          </w:p>
        </w:tc>
        <w:tc>
          <w:tcPr>
            <w:tcW w:w="97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1"/>
                <w:szCs w:val="21"/>
                <w:u w:val="none"/>
              </w:rPr>
            </w:pPr>
          </w:p>
        </w:tc>
        <w:tc>
          <w:tcPr>
            <w:tcW w:w="90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2023年提前下达义保公用经费省级资金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049-黄山市教育局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049021-黄山市新潭小学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2193"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年初预算数</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全年预算数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全年执行数</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分值</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1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1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1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1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年度总体目标</w:t>
            </w:r>
          </w:p>
        </w:tc>
        <w:tc>
          <w:tcPr>
            <w:tcW w:w="5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21"/>
                <w:szCs w:val="21"/>
                <w:u w:val="none"/>
              </w:rPr>
            </w:pPr>
          </w:p>
        </w:tc>
        <w:tc>
          <w:tcPr>
            <w:tcW w:w="5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落实义务教育经费保障机制，保障学校正常运转。义务教育生均公用经费不低于国家规定的标准。</w:t>
            </w:r>
          </w:p>
        </w:tc>
        <w:tc>
          <w:tcPr>
            <w:tcW w:w="36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落实义务教育经费保障机制，保障学校正常运转。义务教育生均公用经费不低于国家规定的标准。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绩效指标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三级指标</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实际完成值</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分值</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得分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21"/>
                <w:szCs w:val="21"/>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产出指标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数量指标</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义务教育生均公用经费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不低于国家规定的标准</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达成预期指标</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质量指标</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项目资金支出合规性</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严格执行相关财经法律法规</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达成预期指标</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时效指标</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资金拨付及时性</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及时</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达成预期指标</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成本指标</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城乡业务教育补助公用经费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≤72054元</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72054元</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21"/>
                <w:szCs w:val="21"/>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效益指标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经济效益指标</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该项目不适用经济效益指标</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该项目不适用经济效益指标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达成预期指标</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社会效益指标</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保障学校正常运转</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有效保障</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达成预期指标</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生态效益指标</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不适用</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该项目不适用生态效益指标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达成预期指标</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可持续影响指标</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提高师生服务水平的持续影响程度</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明显</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达成预期指标</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满意度指标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满意度指标</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师生满意度</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bl>
    <w:p>
      <w:pPr>
        <w:spacing w:line="560" w:lineRule="exact"/>
        <w:ind w:firstLine="640" w:firstLineChars="200"/>
        <w:rPr>
          <w:rFonts w:hint="eastAsia" w:ascii="仿宋_GB2312" w:hAnsi="仿宋_GB2312" w:eastAsia="仿宋_GB2312" w:cs="仿宋_GB2312"/>
          <w:color w:val="auto"/>
          <w:sz w:val="32"/>
          <w:szCs w:val="32"/>
          <w:lang w:eastAsia="zh-CN"/>
        </w:rPr>
      </w:pP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第四部分名词解释</w:t>
      </w:r>
    </w:p>
    <w:p>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仿宋"/>
          <w:b/>
          <w:color w:val="auto"/>
          <w:szCs w:val="32"/>
        </w:rPr>
        <w:t>一、财政拨款收入：</w:t>
      </w:r>
      <w:r>
        <w:rPr>
          <w:rFonts w:hint="eastAsia" w:ascii="仿宋_GB2312" w:hAnsi="仿宋"/>
          <w:color w:val="auto"/>
          <w:szCs w:val="32"/>
        </w:rPr>
        <w:t>指单位从同级财政</w:t>
      </w:r>
      <w:r>
        <w:rPr>
          <w:rFonts w:hint="eastAsia" w:ascii="仿宋_GB2312" w:hAnsi="仿宋"/>
          <w:color w:val="auto"/>
          <w:szCs w:val="32"/>
          <w:lang w:eastAsia="zh-CN"/>
        </w:rPr>
        <w:t>单位</w:t>
      </w:r>
      <w:r>
        <w:rPr>
          <w:rFonts w:hint="eastAsia" w:ascii="仿宋_GB2312" w:hAnsi="仿宋"/>
          <w:color w:val="auto"/>
          <w:szCs w:val="32"/>
        </w:rPr>
        <w:t>取得的财政预算资金。</w:t>
      </w:r>
    </w:p>
    <w:p>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pPr>
        <w:adjustRightInd w:val="0"/>
        <w:snapToGrid w:val="0"/>
        <w:spacing w:line="600" w:lineRule="exact"/>
        <w:ind w:left="425" w:firstLine="206" w:firstLineChars="64"/>
        <w:rPr>
          <w:rFonts w:ascii="仿宋_GB2312" w:hAnsi="黑体"/>
          <w:b/>
          <w:bCs/>
          <w:color w:val="auto"/>
          <w:szCs w:val="32"/>
        </w:rPr>
      </w:pP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w:t>
      </w:r>
      <w:r>
        <w:rPr>
          <w:rFonts w:hint="eastAsia" w:ascii="仿宋_GB2312" w:hAnsi="仿宋" w:cs="Times New Roman"/>
          <w:color w:val="auto"/>
          <w:kern w:val="2"/>
          <w:sz w:val="32"/>
          <w:szCs w:val="32"/>
          <w:lang w:eastAsia="zh-CN"/>
        </w:rPr>
        <w:t>单位</w:t>
      </w:r>
      <w:r>
        <w:rPr>
          <w:rFonts w:hint="eastAsia" w:ascii="仿宋_GB2312" w:hAnsi="仿宋" w:eastAsia="仿宋_GB2312" w:cs="Times New Roman"/>
          <w:color w:val="auto"/>
          <w:kern w:val="2"/>
          <w:sz w:val="32"/>
          <w:szCs w:val="32"/>
        </w:rPr>
        <w:t>和上级单位取得的非财政补助收入。</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color w:val="auto"/>
          <w:szCs w:val="32"/>
        </w:rPr>
      </w:pP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黑体" w:eastAsia="仿宋_GB2312"/>
          <w:bCs/>
          <w:color w:val="auto"/>
          <w:sz w:val="32"/>
          <w:szCs w:val="32"/>
          <w:lang w:eastAsia="zh-CN"/>
        </w:rPr>
      </w:pP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pPr>
        <w:pStyle w:val="4"/>
        <w:spacing w:before="0" w:beforeAutospacing="0" w:after="0" w:afterAutospacing="0" w:line="600" w:lineRule="exact"/>
        <w:ind w:firstLine="630"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pStyle w:val="4"/>
        <w:spacing w:before="0" w:beforeAutospacing="0" w:after="0" w:afterAutospacing="0" w:line="600" w:lineRule="exact"/>
        <w:jc w:val="center"/>
        <w:rPr>
          <w:rFonts w:hint="eastAsia" w:ascii="楷体_GB2312" w:hAnsi="Times New Roman" w:eastAsia="楷体_GB2312"/>
          <w:color w:val="auto"/>
          <w:kern w:val="2"/>
          <w:sz w:val="32"/>
          <w:szCs w:val="32"/>
          <w:lang w:eastAsia="zh-CN"/>
        </w:rPr>
      </w:pPr>
    </w:p>
    <w:p>
      <w:pPr>
        <w:spacing w:line="560" w:lineRule="exact"/>
        <w:jc w:val="both"/>
        <w:rPr>
          <w:rFonts w:hint="eastAsia" w:ascii="仿宋_GB2312" w:hAnsi="仿宋_GB2312" w:eastAsia="仿宋_GB2312" w:cs="仿宋_GB2312"/>
          <w:bCs/>
          <w:color w:val="auto"/>
          <w:sz w:val="32"/>
          <w:szCs w:val="32"/>
          <w:lang w:eastAsia="zh-CN"/>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202</w:t>
      </w:r>
      <w:r>
        <w:rPr>
          <w:rFonts w:hint="eastAsia" w:ascii="仿宋_GB2312" w:cs="宋体"/>
          <w:color w:val="auto"/>
          <w:kern w:val="2"/>
          <w:sz w:val="32"/>
          <w:szCs w:val="32"/>
          <w:lang w:val="en-US" w:eastAsia="zh-CN" w:bidi="ar-SA"/>
        </w:rPr>
        <w:t>3</w:t>
      </w:r>
      <w:r>
        <w:rPr>
          <w:rFonts w:hint="eastAsia" w:ascii="仿宋_GB2312" w:hAnsi="Times New Roman" w:eastAsia="仿宋_GB2312" w:cs="宋体"/>
          <w:color w:val="auto"/>
          <w:kern w:val="2"/>
          <w:sz w:val="32"/>
          <w:szCs w:val="32"/>
          <w:lang w:val="en-US" w:eastAsia="zh-CN" w:bidi="ar-SA"/>
        </w:rPr>
        <w:t>年度</w:t>
      </w:r>
      <w:r>
        <w:rPr>
          <w:rFonts w:hint="eastAsia" w:ascii="仿宋_GB2312" w:hAnsi="仿宋_GB2312" w:eastAsia="仿宋_GB2312" w:cs="仿宋_GB2312"/>
          <w:bCs/>
          <w:color w:val="auto"/>
          <w:sz w:val="32"/>
          <w:szCs w:val="32"/>
          <w:lang w:eastAsia="zh-CN"/>
        </w:rPr>
        <w:t>项目支出绩效自评表</w:t>
      </w:r>
    </w:p>
    <w:p>
      <w:pPr>
        <w:spacing w:line="560" w:lineRule="exact"/>
        <w:ind w:firstLine="643" w:firstLineChars="200"/>
        <w:jc w:val="center"/>
        <w:rPr>
          <w:rFonts w:hint="eastAsia" w:ascii="宋体" w:hAnsi="宋体"/>
          <w:b/>
          <w:color w:val="auto"/>
          <w:sz w:val="36"/>
          <w:szCs w:val="36"/>
        </w:rPr>
      </w:pPr>
      <w:r>
        <w:rPr>
          <w:rFonts w:hint="eastAsia" w:ascii="楷体" w:hAnsi="楷体" w:eastAsia="楷体" w:cs="楷体"/>
          <w:b/>
          <w:color w:val="auto"/>
          <w:szCs w:val="32"/>
        </w:rPr>
        <w:t>黄山市新潭小学绩效自评项目清单</w:t>
      </w:r>
    </w:p>
    <w:tbl>
      <w:tblPr>
        <w:tblStyle w:val="5"/>
        <w:tblpPr w:leftFromText="180" w:rightFromText="180" w:vertAnchor="text" w:horzAnchor="page" w:tblpX="1859" w:tblpY="534"/>
        <w:tblOverlap w:val="never"/>
        <w:tblW w:w="89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
        <w:gridCol w:w="2193"/>
        <w:gridCol w:w="1283"/>
        <w:gridCol w:w="1467"/>
        <w:gridCol w:w="933"/>
        <w:gridCol w:w="1026"/>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1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12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当年预算数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全年执行数</w:t>
            </w:r>
          </w:p>
        </w:tc>
        <w:tc>
          <w:tcPr>
            <w:tcW w:w="9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预算执行率</w:t>
            </w:r>
          </w:p>
        </w:tc>
        <w:tc>
          <w:tcPr>
            <w:tcW w:w="10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得分</w:t>
            </w:r>
          </w:p>
        </w:tc>
        <w:tc>
          <w:tcPr>
            <w:tcW w:w="172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自评结论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2023年正式下达义保公用经费(小学)中央</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17,040.00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17,040.00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2023年正式下达义保公用经费(小学)省级</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6,816.00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6,816.00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2023年提前下达义保公用经费省级资金</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72,054.00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72,054.00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黄山市新潭小学2023年提前下达义保家庭经济困难学生补助资金(中央)</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4,200.00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城乡义务教育经费保障机制市级民生配套</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54,380.00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54,380.00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优</w:t>
            </w:r>
          </w:p>
        </w:tc>
      </w:tr>
    </w:tbl>
    <w:p>
      <w:pPr>
        <w:jc w:val="both"/>
        <w:rPr>
          <w:rFonts w:hint="eastAsia" w:ascii="仿宋" w:hAnsi="仿宋" w:eastAsia="仿宋" w:cs="仿宋"/>
          <w:b w:val="0"/>
          <w:bCs/>
          <w:color w:val="auto"/>
          <w:sz w:val="32"/>
          <w:szCs w:val="32"/>
          <w:lang w:eastAsia="zh-CN"/>
        </w:rPr>
      </w:pPr>
    </w:p>
    <w:tbl>
      <w:tblPr>
        <w:tblStyle w:val="5"/>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732"/>
        <w:gridCol w:w="732"/>
        <w:gridCol w:w="1107"/>
        <w:gridCol w:w="851"/>
        <w:gridCol w:w="693"/>
        <w:gridCol w:w="693"/>
        <w:gridCol w:w="1107"/>
        <w:gridCol w:w="592"/>
        <w:gridCol w:w="839"/>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88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88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52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32"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32"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10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5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9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9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10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92"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3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00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688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城乡义务教育经费保障机制市级民生配套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33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049-黄山市教育局</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049021-黄山市新潭小学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99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项目资金（万元）</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执行率</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99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6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5.45</w:t>
            </w:r>
          </w:p>
        </w:tc>
        <w:tc>
          <w:tcPr>
            <w:tcW w:w="6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5.44</w:t>
            </w:r>
          </w:p>
        </w:tc>
        <w:tc>
          <w:tcPr>
            <w:tcW w:w="11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5.44</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199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其中：本年财政拨款</w:t>
            </w:r>
          </w:p>
        </w:tc>
        <w:tc>
          <w:tcPr>
            <w:tcW w:w="6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5.45</w:t>
            </w:r>
          </w:p>
        </w:tc>
        <w:tc>
          <w:tcPr>
            <w:tcW w:w="6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5.44</w:t>
            </w:r>
          </w:p>
        </w:tc>
        <w:tc>
          <w:tcPr>
            <w:tcW w:w="11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5.44</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199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上年结转资金</w:t>
            </w:r>
          </w:p>
        </w:tc>
        <w:tc>
          <w:tcPr>
            <w:tcW w:w="6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6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1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199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58"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其他资金</w:t>
            </w:r>
          </w:p>
        </w:tc>
        <w:tc>
          <w:tcPr>
            <w:tcW w:w="6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6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11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年度总体目标</w:t>
            </w:r>
          </w:p>
        </w:tc>
        <w:tc>
          <w:tcPr>
            <w:tcW w:w="48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预期目标</w:t>
            </w:r>
          </w:p>
        </w:tc>
        <w:tc>
          <w:tcPr>
            <w:tcW w:w="35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48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目标1：对城乡义务教育学生免除学杂费。目标2：落实国家免费教科书补助。目标3：落实补助城乡义务教育阶段家庭经济困难学生生活费。</w:t>
            </w:r>
          </w:p>
        </w:tc>
        <w:tc>
          <w:tcPr>
            <w:tcW w:w="3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已完成对城乡义务教育学生免除学杂费；已完成落实国家免费教科书补助；已完成落实补助城乡义务教育阶段家庭经济困难学生生活费。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年度指标值</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实际完成值</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落实国家免费教科书补助</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不低于国家规定的标准</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落实国家免费教科书补助</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不低于国家规定的标准</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义务教育生均公用经费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不低于国家规定的标准</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城乡义务教育阶段家庭经济困难学生生活费足额支付，资助全覆盖</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教科书质量合格率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义务教育生均公用经费足额支付</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市级配套资金足额配套</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城乡义务教育经费保障机制市级民生配套资金及时到位并拨付到校到生</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城乡义务教育经费保障机制市级民生配套资金</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＝7.7万元</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7.7万元</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经济效益指标不适用</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经济效益指标不适用</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义务教育阶段学校经费保障不断加强，学校运转得到有效保证，办学条件取得明显改善。</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效果明显</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切实减轻了群众家庭教育支出负担</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效果明显</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生态效益指标</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生态效益指标不适用</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生态效益指标不适用</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实现城乡义务教育均衡发展，促进教育公平，提高教育质量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效果明显</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师生满意度</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33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总分</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bl>
    <w:p>
      <w:pPr>
        <w:jc w:val="both"/>
        <w:rPr>
          <w:rFonts w:hint="eastAsia" w:ascii="仿宋" w:hAnsi="仿宋" w:eastAsia="仿宋" w:cs="仿宋"/>
          <w:b w:val="0"/>
          <w:bCs/>
          <w:color w:val="auto"/>
          <w:sz w:val="32"/>
          <w:szCs w:val="32"/>
          <w:lang w:eastAsia="zh-CN"/>
        </w:rPr>
      </w:pPr>
    </w:p>
    <w:p>
      <w:pPr>
        <w:jc w:val="both"/>
        <w:rPr>
          <w:rFonts w:hint="eastAsia" w:ascii="仿宋" w:hAnsi="仿宋" w:eastAsia="仿宋" w:cs="仿宋"/>
          <w:b w:val="0"/>
          <w:bCs/>
          <w:color w:val="auto"/>
          <w:sz w:val="32"/>
          <w:szCs w:val="32"/>
          <w:lang w:eastAsia="zh-CN"/>
        </w:rPr>
      </w:pPr>
    </w:p>
    <w:tbl>
      <w:tblPr>
        <w:tblStyle w:val="5"/>
        <w:tblW w:w="8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399"/>
        <w:gridCol w:w="936"/>
        <w:gridCol w:w="1068"/>
        <w:gridCol w:w="770"/>
        <w:gridCol w:w="767"/>
        <w:gridCol w:w="776"/>
        <w:gridCol w:w="1116"/>
        <w:gridCol w:w="625"/>
        <w:gridCol w:w="846"/>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7" w:hRule="atLeast"/>
        </w:trPr>
        <w:tc>
          <w:tcPr>
            <w:tcW w:w="87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7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7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3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4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06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93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6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7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7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2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7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19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黄山市新潭小学2023年提前下达义保家庭经济困难学生补助资金(中央)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049-黄山市教育局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049021-黄山市新潭小学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859"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5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5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5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5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年度总体目标</w:t>
            </w:r>
          </w:p>
        </w:tc>
        <w:tc>
          <w:tcPr>
            <w:tcW w:w="49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49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落实家庭经济困难学生生活补助政策。</w:t>
            </w:r>
          </w:p>
        </w:tc>
        <w:tc>
          <w:tcPr>
            <w:tcW w:w="3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落实家庭经济困难学生生活补助政策。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2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家庭经济困难学生享受资助比例</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2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项目资金支出合规性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严格执行相关财经法规，制度等规定</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2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资金拨付及时性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及时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2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家庭经济困难学生生活补助资金</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≤4200元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4200元</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w:t>
            </w:r>
          </w:p>
        </w:tc>
        <w:tc>
          <w:tcPr>
            <w:tcW w:w="2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不适用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该项目不适用经济效益指标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2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减轻家庭经济困难学生经济压力，激励学生成才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有效保障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生态效益指标</w:t>
            </w:r>
          </w:p>
        </w:tc>
        <w:tc>
          <w:tcPr>
            <w:tcW w:w="2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不适用2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该项目不适用生态效益指标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2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对促进家庭经济困难学生发展的影响程度</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明显</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2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家长和学生满意度</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bl>
    <w:p>
      <w:pPr>
        <w:jc w:val="both"/>
        <w:rPr>
          <w:rFonts w:hint="eastAsia" w:ascii="仿宋" w:hAnsi="仿宋" w:eastAsia="仿宋" w:cs="仿宋"/>
          <w:b w:val="0"/>
          <w:bCs/>
          <w:color w:val="auto"/>
          <w:sz w:val="32"/>
          <w:szCs w:val="32"/>
          <w:lang w:eastAsia="zh-CN"/>
        </w:rPr>
      </w:pPr>
    </w:p>
    <w:p>
      <w:pPr>
        <w:jc w:val="both"/>
        <w:rPr>
          <w:rFonts w:hint="eastAsia" w:ascii="仿宋" w:hAnsi="仿宋" w:eastAsia="仿宋" w:cs="仿宋"/>
          <w:b w:val="0"/>
          <w:bCs/>
          <w:color w:val="auto"/>
          <w:sz w:val="32"/>
          <w:szCs w:val="32"/>
          <w:lang w:eastAsia="zh-CN"/>
        </w:rPr>
      </w:pPr>
    </w:p>
    <w:tbl>
      <w:tblPr>
        <w:tblStyle w:val="5"/>
        <w:tblW w:w="8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512"/>
        <w:gridCol w:w="936"/>
        <w:gridCol w:w="1097"/>
        <w:gridCol w:w="839"/>
        <w:gridCol w:w="665"/>
        <w:gridCol w:w="718"/>
        <w:gridCol w:w="1116"/>
        <w:gridCol w:w="583"/>
        <w:gridCol w:w="846"/>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87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87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 w:hRule="atLeast"/>
        </w:trPr>
        <w:tc>
          <w:tcPr>
            <w:tcW w:w="43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7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62"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09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98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2"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44"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44"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25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2023年正式下达义保公用经费(小学)省级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049-黄山市教育局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049021-黄山市新潭小学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776"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年初预算数</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77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77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77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77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年度总体目标</w:t>
            </w:r>
          </w:p>
        </w:tc>
        <w:tc>
          <w:tcPr>
            <w:tcW w:w="5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乡义务教育经费保障机制民生配套，市直义务教育阶段学校免教科书。保证中小学正常运转，在教育教学活动和后勤服务等方面开支的费用，教学业务与管理，教师培训，学生开展文体活动，水电，交通差旅邮电、日常专用材料等购置。</w:t>
            </w:r>
          </w:p>
        </w:tc>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乡义务教育经费保障机制民生配套，市直义务教育阶段学校免教科书。保证中小学正常运转，在教育教学活动和后勤服务等方面开支的费用，教学业务与管理，教师培训，学生开展文体活动，水电，交通差旅邮电、日常专用材料等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实际完成值</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生均公用经费</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不低于国家规定标准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享受免费教科书政策的学生比例</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家庭经济困难学生享受生活补助政策比例</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教科书质量合格率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城乡义务教育经费保障机制中央配套资金及时到位并拨付到校到生</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城乡义务教育经费保证机制中央配套资金</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＝17040元</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17040元</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经济效益指标不适用</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该项目不适用经济效益指标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义务教育阶段学校经费保证不断加强，学校运转得到有效保证，办学条件取得有效提升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效果明显</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生态效益指标</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生态效益指标不适用</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该项目不适用生态效益指标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实现城乡义务教育均衡发展，促进教育公平，提高教育质量</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学校和老师满意度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家长和学生满意度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bl>
    <w:p>
      <w:pPr>
        <w:jc w:val="both"/>
        <w:rPr>
          <w:rFonts w:hint="eastAsia" w:ascii="仿宋" w:hAnsi="仿宋" w:eastAsia="仿宋" w:cs="仿宋"/>
          <w:b w:val="0"/>
          <w:bCs/>
          <w:color w:val="auto"/>
          <w:sz w:val="32"/>
          <w:szCs w:val="32"/>
          <w:lang w:eastAsia="zh-CN"/>
        </w:rPr>
      </w:pPr>
    </w:p>
    <w:p>
      <w:pPr>
        <w:jc w:val="both"/>
        <w:rPr>
          <w:rFonts w:hint="eastAsia" w:ascii="仿宋" w:hAnsi="仿宋" w:eastAsia="仿宋" w:cs="仿宋"/>
          <w:b w:val="0"/>
          <w:bCs/>
          <w:color w:val="auto"/>
          <w:sz w:val="32"/>
          <w:szCs w:val="32"/>
          <w:lang w:eastAsia="zh-CN"/>
        </w:rPr>
      </w:pPr>
    </w:p>
    <w:p>
      <w:pPr>
        <w:jc w:val="both"/>
        <w:rPr>
          <w:rFonts w:hint="eastAsia" w:ascii="仿宋" w:hAnsi="仿宋" w:eastAsia="仿宋" w:cs="仿宋"/>
          <w:b w:val="0"/>
          <w:bCs/>
          <w:color w:val="auto"/>
          <w:sz w:val="32"/>
          <w:szCs w:val="32"/>
          <w:lang w:eastAsia="zh-CN"/>
        </w:rPr>
      </w:pPr>
    </w:p>
    <w:tbl>
      <w:tblPr>
        <w:tblStyle w:val="5"/>
        <w:tblW w:w="8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475"/>
        <w:gridCol w:w="936"/>
        <w:gridCol w:w="1025"/>
        <w:gridCol w:w="829"/>
        <w:gridCol w:w="629"/>
        <w:gridCol w:w="687"/>
        <w:gridCol w:w="1116"/>
        <w:gridCol w:w="555"/>
        <w:gridCol w:w="846"/>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0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0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6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1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02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5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9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96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7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3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05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2023年正式下达义保公用经费(小学)中央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049-黄山市教育局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049021-黄山市新潭小学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190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0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0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0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0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年度总体目标</w:t>
            </w:r>
          </w:p>
        </w:tc>
        <w:tc>
          <w:tcPr>
            <w:tcW w:w="4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4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乡义务教育经费保障机制民生配套，市直义务教育阶段学校免教科书。保证中小学正常运转，在教育教学活动和后勤服务等方面开支的费用，教学业务与管理，教师培训，学生开展文体活动，水电，交通差旅邮电、日常专用材料等购置。</w:t>
            </w:r>
          </w:p>
        </w:tc>
        <w:tc>
          <w:tcPr>
            <w:tcW w:w="33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全年目标已完成，保证中小学正常运转，在教育教学活动和后勤服务等方面开支的费用，教学业务与管理，教师培训，学生开展文体活动，水电，交通差旅邮电、日常专用材料等购置。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生均公用经费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不低于国家规定的标准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享受免费教科书政策的学生比例</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家庭经济困难学生生活补助政策比例</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教科书质量合格率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城乡义务教育经费保障机制中央配套资金及时到位并拨付到校到生</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城乡义务教育经费保障机制中央配套资金</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＝17040元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17040元</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经济效益指标不适用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该项目不适用经济效益指标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义务教育阶段学校经费保证不断加强，学校允准得到有效保证，办学条件取得有效提升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效果明显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生态效益指标不适用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该项目不适用生态效益指标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实现城乡义务教育均衡发展，促进教育公平，提高教育质量</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达成预期指标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学校和老师满意度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家长和学生满意度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bl>
    <w:p>
      <w:pPr>
        <w:jc w:val="both"/>
        <w:rPr>
          <w:rFonts w:hint="eastAsia" w:ascii="仿宋" w:hAnsi="仿宋" w:eastAsia="仿宋" w:cs="仿宋"/>
          <w:b w:val="0"/>
          <w:bCs/>
          <w:color w:val="auto"/>
          <w:sz w:val="32"/>
          <w:szCs w:val="32"/>
          <w:lang w:eastAsia="zh-CN"/>
        </w:rPr>
      </w:pPr>
    </w:p>
    <w:p>
      <w:pPr>
        <w:rPr>
          <w:rFonts w:hint="eastAsia" w:eastAsia="仿宋_GB2312"/>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5B9B43-5BED-4D22-893E-06858AAD8004}"/>
  </w:font>
  <w:font w:name="黑体">
    <w:panose1 w:val="02010609060101010101"/>
    <w:charset w:val="86"/>
    <w:family w:val="auto"/>
    <w:pitch w:val="default"/>
    <w:sig w:usb0="800002BF" w:usb1="38CF7CFA" w:usb2="00000016" w:usb3="00000000" w:csb0="00040001" w:csb1="00000000"/>
    <w:embedRegular r:id="rId2" w:fontKey="{41D56038-99EB-4DF7-B457-DB40959E50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9D0281A1-7C68-445A-947F-19C4117D8D91}"/>
  </w:font>
  <w:font w:name="华文中宋">
    <w:panose1 w:val="02010600040101010101"/>
    <w:charset w:val="86"/>
    <w:family w:val="auto"/>
    <w:pitch w:val="default"/>
    <w:sig w:usb0="00000287" w:usb1="080F0000" w:usb2="00000000" w:usb3="00000000" w:csb0="0004009F" w:csb1="DFD70000"/>
    <w:embedRegular r:id="rId4" w:fontKey="{29C486B2-BF35-4F73-8514-0174FA295F81}"/>
  </w:font>
  <w:font w:name="方正小标宋简体">
    <w:panose1 w:val="02000000000000000000"/>
    <w:charset w:val="86"/>
    <w:family w:val="auto"/>
    <w:pitch w:val="default"/>
    <w:sig w:usb0="00000001" w:usb1="08000000" w:usb2="00000000" w:usb3="00000000" w:csb0="00040000" w:csb1="00000000"/>
    <w:embedRegular r:id="rId5" w:fontKey="{F192396B-9755-4F28-9D2D-E64DD99B5EBF}"/>
  </w:font>
  <w:font w:name="仿宋">
    <w:panose1 w:val="02010609060101010101"/>
    <w:charset w:val="86"/>
    <w:family w:val="auto"/>
    <w:pitch w:val="default"/>
    <w:sig w:usb0="800002BF" w:usb1="38CF7CFA" w:usb2="00000016" w:usb3="00000000" w:csb0="00040001" w:csb1="00000000"/>
    <w:embedRegular r:id="rId6" w:fontKey="{53822C78-8F02-4E96-8128-AB80850901A7}"/>
  </w:font>
  <w:font w:name="楷体_GB2312">
    <w:panose1 w:val="02010609030101010101"/>
    <w:charset w:val="86"/>
    <w:family w:val="modern"/>
    <w:pitch w:val="default"/>
    <w:sig w:usb0="00000001" w:usb1="080E0000" w:usb2="00000000" w:usb3="00000000" w:csb0="00040000" w:csb1="00000000"/>
    <w:embedRegular r:id="rId7" w:fontKey="{FBA26335-E977-4B72-B6B5-D3ACBC1E0332}"/>
  </w:font>
  <w:font w:name="楷体">
    <w:panose1 w:val="02010609060101010101"/>
    <w:charset w:val="86"/>
    <w:family w:val="modern"/>
    <w:pitch w:val="default"/>
    <w:sig w:usb0="800002BF" w:usb1="38CF7CFA" w:usb2="00000016" w:usb3="00000000" w:csb0="00040001" w:csb1="00000000"/>
    <w:embedRegular r:id="rId8" w:fontKey="{8B2B83DF-FE3B-4C97-9DF4-38CC1AA429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C2B06"/>
    <w:multiLevelType w:val="singleLevel"/>
    <w:tmpl w:val="B5BC2B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jEzM2Q0Yjc0YjZkYzc3YWU1NDE2MjE4NTM4NmQifQ=="/>
  </w:docVars>
  <w:rsids>
    <w:rsidRoot w:val="0002261D"/>
    <w:rsid w:val="0002261D"/>
    <w:rsid w:val="02F70A0F"/>
    <w:rsid w:val="02F76F9A"/>
    <w:rsid w:val="032550A5"/>
    <w:rsid w:val="049F0BB3"/>
    <w:rsid w:val="062E1922"/>
    <w:rsid w:val="0FC90775"/>
    <w:rsid w:val="1240431F"/>
    <w:rsid w:val="16E55626"/>
    <w:rsid w:val="196C5CF1"/>
    <w:rsid w:val="1BD52421"/>
    <w:rsid w:val="1DFF4065"/>
    <w:rsid w:val="287F4643"/>
    <w:rsid w:val="2B1C0A93"/>
    <w:rsid w:val="2B535944"/>
    <w:rsid w:val="31583E09"/>
    <w:rsid w:val="32784077"/>
    <w:rsid w:val="32977D27"/>
    <w:rsid w:val="33855701"/>
    <w:rsid w:val="346E7F80"/>
    <w:rsid w:val="35D549DE"/>
    <w:rsid w:val="37180854"/>
    <w:rsid w:val="3B440853"/>
    <w:rsid w:val="3E2B4983"/>
    <w:rsid w:val="3FD2347F"/>
    <w:rsid w:val="403723ED"/>
    <w:rsid w:val="451500C7"/>
    <w:rsid w:val="47703BA7"/>
    <w:rsid w:val="53F31C1E"/>
    <w:rsid w:val="54C36452"/>
    <w:rsid w:val="555D658B"/>
    <w:rsid w:val="5984379D"/>
    <w:rsid w:val="5CD15D9F"/>
    <w:rsid w:val="5D486616"/>
    <w:rsid w:val="60872BF8"/>
    <w:rsid w:val="609306C5"/>
    <w:rsid w:val="61866E5D"/>
    <w:rsid w:val="642D7956"/>
    <w:rsid w:val="66BA5E04"/>
    <w:rsid w:val="68023487"/>
    <w:rsid w:val="6FCD1EDB"/>
    <w:rsid w:val="715E5D43"/>
    <w:rsid w:val="73601B22"/>
    <w:rsid w:val="748A67E2"/>
    <w:rsid w:val="75D307FB"/>
    <w:rsid w:val="787C5773"/>
    <w:rsid w:val="7C802211"/>
    <w:rsid w:val="7D2E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11186</Words>
  <Characters>13931</Characters>
  <Lines>0</Lines>
  <Paragraphs>0</Paragraphs>
  <TotalTime>4</TotalTime>
  <ScaleCrop>false</ScaleCrop>
  <LinksUpToDate>false</LinksUpToDate>
  <CharactersWithSpaces>14520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2024-09-04T08:36:00Z</dcterms:created>
  <dc:creator>洪HH2X</dc:creator>
  <cp:lastModifiedBy>吴世勋的吴夫人</cp:lastModifiedBy>
  <dcterms:modified xsi:type="dcterms:W3CDTF">2024-09-30T00:31:24Z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00C0186D31644BE0A28BB61C6515D7F8_11</vt:lpwstr>
  </property>
</Properties>
</file>