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hint="eastAsia" w:ascii="仿宋" w:hAnsi="仿宋" w:eastAsia="仿宋" w:cs="宋体"/>
          <w:color w:val="333333"/>
          <w:kern w:val="0"/>
          <w:sz w:val="32"/>
          <w:szCs w:val="32"/>
        </w:rPr>
      </w:pPr>
    </w:p>
    <w:p>
      <w:pPr>
        <w:keepNext w:val="0"/>
        <w:keepLines w:val="0"/>
        <w:pageBreakBefore w:val="0"/>
        <w:widowControl w:val="0"/>
        <w:tabs>
          <w:tab w:val="left" w:pos="3758"/>
        </w:tabs>
        <w:kinsoku/>
        <w:wordWrap/>
        <w:overflowPunct/>
        <w:topLinePunct w:val="0"/>
        <w:autoSpaceDE/>
        <w:autoSpaceDN/>
        <w:bidi w:val="0"/>
        <w:snapToGrid/>
        <w:spacing w:afterAutospacing="0" w:line="64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lang w:eastAsia="zh-CN"/>
        </w:rPr>
        <w:t>安徽省</w:t>
      </w:r>
      <w:r>
        <w:rPr>
          <w:rFonts w:hint="eastAsia" w:ascii="华文中宋" w:hAnsi="华文中宋" w:eastAsia="华文中宋" w:cs="Times New Roman"/>
          <w:b/>
          <w:bCs/>
          <w:sz w:val="44"/>
          <w:szCs w:val="44"/>
        </w:rPr>
        <w:t>徽州师范学校202</w:t>
      </w:r>
      <w:r>
        <w:rPr>
          <w:rFonts w:hint="eastAsia" w:ascii="华文中宋" w:hAnsi="华文中宋" w:eastAsia="华文中宋" w:cs="Times New Roman"/>
          <w:b/>
          <w:bCs/>
          <w:sz w:val="44"/>
          <w:szCs w:val="44"/>
          <w:lang w:val="en-US" w:eastAsia="zh-CN"/>
        </w:rPr>
        <w:t>5</w:t>
      </w:r>
      <w:r>
        <w:rPr>
          <w:rFonts w:hint="eastAsia" w:ascii="华文中宋" w:hAnsi="华文中宋" w:eastAsia="华文中宋" w:cs="Times New Roman"/>
          <w:b/>
          <w:bCs/>
          <w:sz w:val="44"/>
          <w:szCs w:val="44"/>
        </w:rPr>
        <w:t>年春季学生研学活动</w:t>
      </w:r>
      <w:r>
        <w:rPr>
          <w:rFonts w:hint="eastAsia" w:ascii="华文中宋" w:hAnsi="华文中宋" w:eastAsia="华文中宋" w:cs="Times New Roman"/>
          <w:b/>
          <w:bCs/>
          <w:sz w:val="44"/>
          <w:szCs w:val="44"/>
          <w:lang w:eastAsia="zh-CN"/>
        </w:rPr>
        <w:t>招标文件</w:t>
      </w:r>
    </w:p>
    <w:p>
      <w:pPr>
        <w:widowControl/>
        <w:shd w:val="clear" w:color="auto" w:fill="FFFFFF"/>
        <w:spacing w:line="540" w:lineRule="atLeast"/>
        <w:ind w:firstLine="640"/>
        <w:rPr>
          <w:rFonts w:hint="eastAsia" w:ascii="仿宋" w:hAnsi="仿宋" w:eastAsia="仿宋" w:cs="宋体"/>
          <w:color w:val="333333"/>
          <w:kern w:val="0"/>
          <w:sz w:val="32"/>
          <w:szCs w:val="32"/>
        </w:rPr>
      </w:pP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一、招标要求及内容</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（一）研学线路</w:t>
      </w:r>
      <w:r>
        <w:rPr>
          <w:rFonts w:hint="eastAsia" w:ascii="仿宋" w:hAnsi="仿宋" w:eastAsia="仿宋" w:cs="Times New Roman"/>
          <w:sz w:val="32"/>
          <w:szCs w:val="32"/>
          <w:lang w:eastAsia="zh-CN"/>
        </w:rPr>
        <w:t>及研学人数</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线路一：齐云山、黄山非遗馆，约530人。教师约</w:t>
      </w:r>
      <w:r>
        <w:rPr>
          <w:rFonts w:hint="eastAsia" w:ascii="仿宋" w:hAnsi="仿宋" w:eastAsia="仿宋" w:cs="Times New Roman"/>
          <w:sz w:val="32"/>
          <w:szCs w:val="32"/>
          <w:lang w:val="en-US" w:eastAsia="zh-CN"/>
        </w:rPr>
        <w:t>35人。</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线路二：翡翠谷、</w:t>
      </w:r>
      <w:r>
        <w:rPr>
          <w:rFonts w:hint="eastAsia" w:ascii="仿宋" w:hAnsi="仿宋" w:eastAsia="仿宋" w:cs="Times New Roman"/>
          <w:sz w:val="32"/>
          <w:szCs w:val="32"/>
          <w:lang w:val="en-US" w:eastAsia="zh-CN"/>
        </w:rPr>
        <w:t>红军</w:t>
      </w:r>
      <w:r>
        <w:rPr>
          <w:rFonts w:hint="eastAsia" w:ascii="仿宋" w:hAnsi="仿宋" w:eastAsia="仿宋" w:cs="Times New Roman"/>
          <w:sz w:val="32"/>
          <w:szCs w:val="32"/>
          <w:lang w:eastAsia="zh-CN"/>
        </w:rPr>
        <w:t>北上抗日</w:t>
      </w:r>
      <w:r>
        <w:rPr>
          <w:rFonts w:hint="eastAsia" w:ascii="仿宋" w:hAnsi="仿宋" w:eastAsia="仿宋" w:cs="Times New Roman"/>
          <w:sz w:val="32"/>
          <w:szCs w:val="32"/>
          <w:lang w:val="en-US" w:eastAsia="zh-CN"/>
        </w:rPr>
        <w:t>先遣队</w:t>
      </w:r>
      <w:bookmarkStart w:id="0" w:name="_GoBack"/>
      <w:bookmarkEnd w:id="0"/>
      <w:r>
        <w:rPr>
          <w:rFonts w:hint="eastAsia" w:ascii="仿宋" w:hAnsi="仿宋" w:eastAsia="仿宋" w:cs="Times New Roman"/>
          <w:sz w:val="32"/>
          <w:szCs w:val="32"/>
          <w:lang w:eastAsia="zh-CN"/>
        </w:rPr>
        <w:t>纪念馆，约400人。教师约</w:t>
      </w:r>
      <w:r>
        <w:rPr>
          <w:rFonts w:hint="eastAsia" w:ascii="仿宋" w:hAnsi="仿宋" w:eastAsia="仿宋" w:cs="Times New Roman"/>
          <w:sz w:val="32"/>
          <w:szCs w:val="32"/>
          <w:lang w:val="en-US" w:eastAsia="zh-CN"/>
        </w:rPr>
        <w:t>30人。</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（二）时间安排</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暂定202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日。</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三</w:t>
      </w:r>
      <w:r>
        <w:rPr>
          <w:rFonts w:hint="eastAsia" w:ascii="仿宋" w:hAnsi="仿宋" w:eastAsia="仿宋" w:cs="Times New Roman"/>
          <w:sz w:val="32"/>
          <w:szCs w:val="32"/>
        </w:rPr>
        <w:t>）投标旅行社资格和要求：</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 旅行社营业执照、本项目负责人须为旅行社的正式员工（提供近3个月的社保证明）。</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2.具有3年以上研学旅行操作经验且有专人负责研学活动,在研学活动中无不良记录。</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3.近三年每年不少于1次，每次不少于300人，承接研学游服务，效果良好。</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4.在近三年内无重大质量投诉记录、经济纠纷及安全责任事故。</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 “双险”俱全。旅行社责任险，需在复印件盖公司公章；游客人身意外伤害险需在保障方案中承诺保险，且在出行之前办理好保险手续。</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四</w:t>
      </w:r>
      <w:r>
        <w:rPr>
          <w:rFonts w:hint="eastAsia" w:ascii="仿宋" w:hAnsi="仿宋" w:eastAsia="仿宋" w:cs="Times New Roman"/>
          <w:sz w:val="32"/>
          <w:szCs w:val="32"/>
        </w:rPr>
        <w:t>）交通工具和午餐标准等：</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1.交通：全程空调旅游大巴，原则上一班一车，一人一座，车况要求良好。司机需5年以上驾驶大型客车经验，身体健康，心理素质好。   </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2.中餐自理。</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3.门票：所列景点所有门票，按学生票处理，由旅行社</w:t>
      </w:r>
      <w:r>
        <w:rPr>
          <w:rFonts w:hint="eastAsia" w:ascii="仿宋" w:hAnsi="仿宋" w:eastAsia="仿宋" w:cs="Times New Roman"/>
          <w:sz w:val="32"/>
          <w:szCs w:val="32"/>
          <w:lang w:eastAsia="zh-CN"/>
        </w:rPr>
        <w:t>统一购买</w:t>
      </w:r>
      <w:r>
        <w:rPr>
          <w:rFonts w:hint="eastAsia" w:ascii="仿宋" w:hAnsi="仿宋" w:eastAsia="仿宋" w:cs="Times New Roman"/>
          <w:sz w:val="32"/>
          <w:szCs w:val="32"/>
        </w:rPr>
        <w:t>。</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4.导游：基于课程要求，导游需对游览地的文化有深刻了解，活动安排与讲解需侧重突出本课程主题。行程中播放的所有音乐、影视作品及导游的讲解须正规典雅，不得出现任何不适合中学生视听的内容。</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5.全程不安排任何购物点及自费项目。</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6.保险：提供旅行社责任险、旅游人身意外险（保额不少于20万/人）。</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二、控制价及付款方式</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（一）控制价1</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0元/人（超出控制价的，视同废标）。</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（二）活动安全结束且双方对本次活动无异议，一周后付清全部款项。</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三、报名时间、地点、联系人</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（一）报名及标书送达时间：202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4月29</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0</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（二）报名地点：安徽省徽州师范学校办公楼408</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（三）报名联系人：</w:t>
      </w:r>
      <w:r>
        <w:rPr>
          <w:rFonts w:hint="eastAsia" w:ascii="仿宋" w:hAnsi="仿宋" w:eastAsia="仿宋" w:cs="Times New Roman"/>
          <w:sz w:val="32"/>
          <w:szCs w:val="32"/>
          <w:lang w:eastAsia="zh-CN"/>
        </w:rPr>
        <w:t>许老师</w:t>
      </w:r>
      <w:r>
        <w:rPr>
          <w:rFonts w:hint="eastAsia" w:ascii="仿宋" w:hAnsi="仿宋" w:eastAsia="仿宋" w:cs="Times New Roman"/>
          <w:sz w:val="32"/>
          <w:szCs w:val="32"/>
        </w:rPr>
        <w:t>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电话18955935</w:t>
      </w:r>
      <w:r>
        <w:rPr>
          <w:rFonts w:hint="eastAsia" w:ascii="仿宋" w:hAnsi="仿宋" w:eastAsia="仿宋" w:cs="Times New Roman"/>
          <w:sz w:val="32"/>
          <w:szCs w:val="32"/>
          <w:lang w:val="en-US" w:eastAsia="zh-CN"/>
        </w:rPr>
        <w:t>553</w:t>
      </w:r>
      <w:r>
        <w:rPr>
          <w:rFonts w:hint="eastAsia" w:ascii="仿宋" w:hAnsi="仿宋" w:eastAsia="仿宋" w:cs="Times New Roman"/>
          <w:sz w:val="32"/>
          <w:szCs w:val="32"/>
        </w:rPr>
        <w:t>        </w:t>
      </w:r>
    </w:p>
    <w:p>
      <w:pPr>
        <w:spacing w:line="560" w:lineRule="exact"/>
        <w:ind w:firstLine="640" w:firstLineChars="200"/>
        <w:rPr>
          <w:rFonts w:hint="eastAsia" w:ascii="仿宋" w:hAnsi="仿宋" w:eastAsia="仿宋" w:cs="Times New Roman"/>
          <w:color w:val="C00000"/>
          <w:sz w:val="32"/>
          <w:szCs w:val="32"/>
        </w:rPr>
      </w:pPr>
      <w:r>
        <w:rPr>
          <w:rFonts w:hint="eastAsia" w:ascii="仿宋" w:hAnsi="仿宋" w:eastAsia="仿宋" w:cs="Times New Roman"/>
          <w:sz w:val="32"/>
          <w:szCs w:val="32"/>
        </w:rPr>
        <w:t>（四）开标时间：202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4 月29 </w:t>
      </w:r>
      <w:r>
        <w:rPr>
          <w:rFonts w:hint="eastAsia" w:ascii="仿宋" w:hAnsi="仿宋" w:eastAsia="仿宋" w:cs="Times New Roman"/>
          <w:sz w:val="32"/>
          <w:szCs w:val="32"/>
        </w:rPr>
        <w:t>日1</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0</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四、评标办法</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（一）学校成立评标小组,由学校评标小组初审投标文件的完整性、合理性和资格证明文件的合法性，初步认定投标的有效性。</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Times New Roman"/>
          <w:sz w:val="28"/>
          <w:szCs w:val="28"/>
          <w:lang w:val="en-US" w:eastAsia="zh-CN"/>
        </w:rPr>
      </w:pPr>
      <w:r>
        <w:rPr>
          <w:rFonts w:hint="eastAsia" w:ascii="仿宋" w:hAnsi="仿宋" w:eastAsia="仿宋" w:cs="Times New Roman"/>
          <w:sz w:val="32"/>
          <w:szCs w:val="32"/>
        </w:rPr>
        <w:t>（二）资格审查后</w:t>
      </w:r>
      <w:r>
        <w:rPr>
          <w:rFonts w:hint="eastAsia" w:ascii="仿宋" w:hAnsi="仿宋" w:eastAsia="仿宋" w:cs="Times New Roman"/>
          <w:sz w:val="32"/>
          <w:szCs w:val="32"/>
          <w:lang w:eastAsia="zh-CN"/>
        </w:rPr>
        <w:t>，学校评标小组</w:t>
      </w:r>
      <w:r>
        <w:rPr>
          <w:rFonts w:hint="eastAsia" w:ascii="仿宋" w:hAnsi="仿宋" w:eastAsia="仿宋" w:cs="Times New Roman"/>
          <w:sz w:val="32"/>
          <w:szCs w:val="32"/>
        </w:rPr>
        <w:t>按</w:t>
      </w:r>
      <w:r>
        <w:rPr>
          <w:rFonts w:hint="eastAsia" w:ascii="仿宋" w:hAnsi="仿宋" w:eastAsia="仿宋" w:cs="Times New Roman"/>
          <w:sz w:val="32"/>
          <w:szCs w:val="32"/>
          <w:lang w:eastAsia="zh-CN"/>
        </w:rPr>
        <w:t>投标人提交的路线设计方案和报价方案进行综合评分</w:t>
      </w:r>
      <w:r>
        <w:rPr>
          <w:rFonts w:hint="eastAsia" w:ascii="仿宋" w:hAnsi="仿宋" w:eastAsia="仿宋" w:cs="Times New Roman"/>
          <w:sz w:val="32"/>
          <w:szCs w:val="32"/>
        </w:rPr>
        <w:t>。</w:t>
      </w:r>
      <w:r>
        <w:rPr>
          <w:rFonts w:hint="eastAsia" w:ascii="仿宋" w:hAnsi="仿宋" w:eastAsia="仿宋" w:cs="Times New Roman"/>
          <w:sz w:val="32"/>
          <w:szCs w:val="32"/>
          <w:lang w:eastAsia="zh-CN"/>
        </w:rPr>
        <w:t>具体评分标准</w:t>
      </w:r>
      <w:r>
        <w:rPr>
          <w:rFonts w:hint="eastAsia" w:ascii="仿宋" w:hAnsi="仿宋" w:eastAsia="仿宋" w:cs="Times New Roman"/>
          <w:sz w:val="28"/>
          <w:szCs w:val="28"/>
          <w:lang w:val="en-US" w:eastAsia="zh-CN"/>
        </w:rPr>
        <w:t>如下：</w:t>
      </w:r>
    </w:p>
    <w:tbl>
      <w:tblPr>
        <w:tblStyle w:val="16"/>
        <w:tblpPr w:leftFromText="180" w:rightFromText="180" w:vertAnchor="text" w:horzAnchor="page" w:tblpX="1877" w:tblpY="6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140"/>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评分项</w:t>
            </w:r>
          </w:p>
        </w:tc>
        <w:tc>
          <w:tcPr>
            <w:tcW w:w="114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权重</w:t>
            </w:r>
          </w:p>
        </w:tc>
        <w:tc>
          <w:tcPr>
            <w:tcW w:w="5582"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线路方案</w:t>
            </w: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质量</w:t>
            </w:r>
          </w:p>
        </w:tc>
        <w:tc>
          <w:tcPr>
            <w:tcW w:w="114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70%</w:t>
            </w:r>
          </w:p>
        </w:tc>
        <w:tc>
          <w:tcPr>
            <w:tcW w:w="5582" w:type="dxa"/>
          </w:tcPr>
          <w:p>
            <w:pPr>
              <w:keepNext w:val="0"/>
              <w:keepLines w:val="0"/>
              <w:pageBreakBefore w:val="0"/>
              <w:widowControl w:val="0"/>
              <w:kinsoku/>
              <w:wordWrap/>
              <w:overflowPunct/>
              <w:topLinePunct w:val="0"/>
              <w:autoSpaceDE/>
              <w:autoSpaceDN/>
              <w:bidi w:val="0"/>
              <w:snapToGrid/>
              <w:spacing w:line="56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线路设计是否具有教育性和趣味性；路线安排是否合理（符合学生年龄特点）；安全保障措施是否完善（应急预案、安全员配置）等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报价</w:t>
            </w: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合理性</w:t>
            </w:r>
          </w:p>
        </w:tc>
        <w:tc>
          <w:tcPr>
            <w:tcW w:w="1140" w:type="dxa"/>
          </w:tcPr>
          <w:p>
            <w:pPr>
              <w:keepNext w:val="0"/>
              <w:keepLines w:val="0"/>
              <w:pageBreakBefore w:val="0"/>
              <w:widowControl w:val="0"/>
              <w:kinsoku/>
              <w:wordWrap/>
              <w:overflowPunct/>
              <w:topLinePunct w:val="0"/>
              <w:autoSpaceDE/>
              <w:autoSpaceDN/>
              <w:bidi w:val="0"/>
              <w:snapToGrid/>
              <w:spacing w:line="56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10%</w:t>
            </w:r>
          </w:p>
        </w:tc>
        <w:tc>
          <w:tcPr>
            <w:tcW w:w="5582" w:type="dxa"/>
          </w:tcPr>
          <w:p>
            <w:pPr>
              <w:keepNext w:val="0"/>
              <w:keepLines w:val="0"/>
              <w:pageBreakBefore w:val="0"/>
              <w:widowControl w:val="0"/>
              <w:kinsoku/>
              <w:wordWrap/>
              <w:overflowPunct/>
              <w:topLinePunct w:val="0"/>
              <w:autoSpaceDE/>
              <w:autoSpaceDN/>
              <w:bidi w:val="0"/>
              <w:snapToGrid/>
              <w:spacing w:line="56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分项费用（交通、课程等）是否清晰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报价分</w:t>
            </w:r>
          </w:p>
        </w:tc>
        <w:tc>
          <w:tcPr>
            <w:tcW w:w="1140" w:type="dxa"/>
          </w:tcPr>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20%</w:t>
            </w:r>
          </w:p>
        </w:tc>
        <w:tc>
          <w:tcPr>
            <w:tcW w:w="5582" w:type="dxa"/>
          </w:tcPr>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按平均价法计分。</w:t>
            </w:r>
          </w:p>
          <w:p>
            <w:pPr>
              <w:keepNext w:val="0"/>
              <w:keepLines w:val="0"/>
              <w:pageBreakBefore w:val="0"/>
              <w:widowControl w:val="0"/>
              <w:kinsoku/>
              <w:wordWrap/>
              <w:overflowPunct/>
              <w:topLinePunct w:val="0"/>
              <w:autoSpaceDE/>
              <w:autoSpaceDN/>
              <w:bidi w:val="0"/>
              <w:snapToGrid/>
              <w:spacing w:line="56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报价得分=[1-（当前报价-平均价）/平均价]*20%*100</w:t>
            </w:r>
          </w:p>
        </w:tc>
      </w:tr>
    </w:tbl>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Times New Roman"/>
          <w:sz w:val="32"/>
          <w:szCs w:val="32"/>
          <w:lang w:eastAsia="zh-CN"/>
        </w:rPr>
      </w:pP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五、投标材料要求</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（一）投标时须提交企业法人营业执照原件和加盖公章的复印件（原件核验后自行带回，复印件本校留存）；</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（二）中标后3日内提供旅游车年检、保险等相关材料。</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（三）旅行社责任险材料。</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（四）3年以上研学游相关证明材料。包括合同原件、复印件、学校评价原件。</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（五）路线设计方案。包括交通、行程安排、主题教育、服务等。</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（六）其他有利于投标公司中标的合法材料</w:t>
      </w:r>
      <w:r>
        <w:rPr>
          <w:rFonts w:hint="eastAsia" w:ascii="仿宋" w:hAnsi="仿宋" w:eastAsia="仿宋" w:cs="Times New Roman"/>
          <w:sz w:val="32"/>
          <w:szCs w:val="32"/>
          <w:lang w:eastAsia="zh-CN"/>
        </w:rPr>
        <w:t>。</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（七）报名时需交2000元投标保证金，如果中标后放弃，则保证金不予退还；如未中标则开标后3个工作日内无息退还；中标单位的保证金待行程结束后，视情况退还。</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请参加投标的旅行社投标时携带旅行社资质证明及具体经办人的单位授权书。</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六、其他</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（一）中标人要严格按照招标文件的要求履行义务，若中标人未能按规定的要求签约或执行，由此导致的一切后果由中标人负全责。</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（二）双方产生争议，需本着友好协商的原则处理。若协商无果，则在校方所在地的法院进行诉讼。</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（三）本校将对此服务的最终效果进行评价，良好以下等次将影响以后本校相关项目的投标资格。</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（四）若只有两家报名，本项目直接转为竞争性谈判。</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（五）</w:t>
      </w:r>
      <w:r>
        <w:rPr>
          <w:rFonts w:hint="eastAsia" w:ascii="仿宋" w:hAnsi="仿宋" w:eastAsia="仿宋" w:cs="Times New Roman"/>
          <w:sz w:val="32"/>
          <w:szCs w:val="32"/>
          <w:lang w:eastAsia="zh-CN"/>
        </w:rPr>
        <w:t>若两条线路为同一家旅行社中标，该旅行社只能服务其中一条线路（任选）。另一条线路由得分第二名的旅行社服务。</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（六）</w:t>
      </w:r>
      <w:r>
        <w:rPr>
          <w:rFonts w:hint="eastAsia" w:ascii="仿宋" w:hAnsi="仿宋" w:eastAsia="仿宋" w:cs="Times New Roman"/>
          <w:sz w:val="32"/>
          <w:szCs w:val="32"/>
        </w:rPr>
        <w:t>本招标文件以校方的解释为准。</w:t>
      </w:r>
    </w:p>
    <w:p>
      <w:pPr>
        <w:spacing w:line="560" w:lineRule="exact"/>
        <w:ind w:firstLine="640" w:firstLineChars="200"/>
        <w:rPr>
          <w:rFonts w:hint="eastAsia" w:ascii="仿宋" w:hAnsi="仿宋" w:eastAsia="仿宋" w:cs="Times New Roman"/>
          <w:sz w:val="32"/>
          <w:szCs w:val="32"/>
        </w:rPr>
      </w:pPr>
    </w:p>
    <w:p>
      <w:pPr>
        <w:spacing w:line="560" w:lineRule="exact"/>
        <w:rPr>
          <w:rFonts w:hint="eastAsia" w:ascii="仿宋" w:hAnsi="仿宋" w:eastAsia="仿宋" w:cs="Times New Roman"/>
          <w:sz w:val="32"/>
          <w:szCs w:val="32"/>
        </w:rPr>
      </w:pP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2025年4月21日</w:t>
      </w: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180332"/>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YWVlMWIwOTg4MDI5ODYxNTU4MDkwM2EwYWQyNjIifQ=="/>
  </w:docVars>
  <w:rsids>
    <w:rsidRoot w:val="00837342"/>
    <w:rsid w:val="00021A07"/>
    <w:rsid w:val="00120561"/>
    <w:rsid w:val="004B35C6"/>
    <w:rsid w:val="004D62F7"/>
    <w:rsid w:val="00837342"/>
    <w:rsid w:val="009F4C8F"/>
    <w:rsid w:val="00E65E38"/>
    <w:rsid w:val="00EF2DA6"/>
    <w:rsid w:val="0E9C5765"/>
    <w:rsid w:val="130C19E0"/>
    <w:rsid w:val="185F52BC"/>
    <w:rsid w:val="194E3A3A"/>
    <w:rsid w:val="1CC80956"/>
    <w:rsid w:val="1DD85C47"/>
    <w:rsid w:val="1F8D0042"/>
    <w:rsid w:val="324360F9"/>
    <w:rsid w:val="34CB53CF"/>
    <w:rsid w:val="370D0338"/>
    <w:rsid w:val="439636AB"/>
    <w:rsid w:val="4E964C8F"/>
    <w:rsid w:val="765955AE"/>
    <w:rsid w:val="79D30CE9"/>
    <w:rsid w:val="7F25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7"/>
    <w:autoRedefine/>
    <w:unhideWhenUsed/>
    <w:qFormat/>
    <w:uiPriority w:val="99"/>
    <w:pPr>
      <w:tabs>
        <w:tab w:val="center" w:pos="4153"/>
        <w:tab w:val="right" w:pos="8306"/>
      </w:tabs>
      <w:snapToGrid w:val="0"/>
      <w:jc w:val="left"/>
    </w:pPr>
    <w:rPr>
      <w:sz w:val="18"/>
      <w:szCs w:val="18"/>
    </w:rPr>
  </w:style>
  <w:style w:type="paragraph" w:styleId="12">
    <w:name w:val="header"/>
    <w:basedOn w:val="1"/>
    <w:link w:val="36"/>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autoRedefine/>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autoRedefine/>
    <w:semiHidden/>
    <w:qFormat/>
    <w:uiPriority w:val="9"/>
    <w:rPr>
      <w:rFonts w:cstheme="majorBidi"/>
      <w:b/>
      <w:bCs/>
      <w:color w:val="104862" w:themeColor="accent1" w:themeShade="BF"/>
    </w:rPr>
  </w:style>
  <w:style w:type="character" w:customStyle="1" w:styleId="24">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autoRedefine/>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Intense Emphasis"/>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Intense Reference"/>
    <w:basedOn w:val="17"/>
    <w:autoRedefine/>
    <w:qFormat/>
    <w:uiPriority w:val="32"/>
    <w:rPr>
      <w:b/>
      <w:bCs/>
      <w:smallCaps/>
      <w:color w:val="104862" w:themeColor="accent1" w:themeShade="BF"/>
      <w:spacing w:val="5"/>
    </w:rPr>
  </w:style>
  <w:style w:type="character" w:customStyle="1" w:styleId="36">
    <w:name w:val="页眉 字符"/>
    <w:basedOn w:val="17"/>
    <w:link w:val="12"/>
    <w:autoRedefine/>
    <w:qFormat/>
    <w:uiPriority w:val="99"/>
    <w:rPr>
      <w:sz w:val="18"/>
      <w:szCs w:val="18"/>
    </w:rPr>
  </w:style>
  <w:style w:type="character" w:customStyle="1" w:styleId="37">
    <w:name w:val="页脚 字符"/>
    <w:basedOn w:val="17"/>
    <w:link w:val="11"/>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1494</Words>
  <Characters>1574</Characters>
  <Lines>11</Lines>
  <Paragraphs>3</Paragraphs>
  <TotalTime>11</TotalTime>
  <ScaleCrop>false</ScaleCrop>
  <LinksUpToDate>false</LinksUpToDate>
  <CharactersWithSpaces>1622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2024-03-29T00:55:00Z</dcterms:created>
  <dc:creator>bao646621739@163.com</dc:creator>
  <cp:lastModifiedBy>Administrator</cp:lastModifiedBy>
  <cp:lastPrinted>2024-03-29T01:01:00Z</cp:lastPrinted>
  <dcterms:modified xsi:type="dcterms:W3CDTF">2025-04-21T11:12:35Z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eyJoZGlkIjoiZGZkNjQzM2M1Y2Q3NmZlYjZlMWY0N2Y5ZDJhYTA2OTgiLCJ1c2VySWQiOiIyNDU1NDM2NjMifQ==</vt:lpwstr>
  </property>
  <property fmtid="{D5CDD505-2E9C-101B-9397-08002B2CF9AE}" pid="3" name="KSOProductBuildVer">
    <vt:lpwstr>2052-12.1.0.16120</vt:lpwstr>
  </property>
  <property fmtid="{D5CDD505-2E9C-101B-9397-08002B2CF9AE}" pid="4" name="ICV">
    <vt:lpwstr>39023FE2E5B847FB88153D2D93818C44_13</vt:lpwstr>
  </property>
</Properties>
</file>